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Suja Life,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Paine Schwartz Food Chain Fund V GP,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23,324,528.00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23,324,528.00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23,324,528.00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60.39 %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securities include (i) 8,488,216 shares of Class A common stock ("Class A Common Stock") and (ii) 14,836,312 shares of Class A Common Stock issuable in respect of 14,836,312 Class A common units of the Issuer ("LP Units"), together with an equal number of shares of Class V common stock ("Class V Common Stock"). The reported percentage is calculated based on 23,788,700 shares of Class A Common Stock outstanding as of July 31, 2026, as reported on the Issuer's 10-Q filed with the Securities and Exchange Commission on August 4, 2026, and as increased by 14,836,312 shares of Class A Common Stock issuable in respect of 14,836,312 LP Units, together with an equal number of shares of Class V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Suja Life,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3831 Ocean Ranch Blvd. Oceanside CA 92056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Paine Schwartz Food Chain Fund V GP, Ltd.,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Paine Schwartz Partners, 610 Broadway, 3rd Floor,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the cover page hereto. The reported securities are directly held by the following: (i) 6,368,185 shares of Class A Common Stock held by Paine Schwartz Food Chain Fund V B, L.P. ("PSFC Fund V B"); (ii) 1,384,406 shares of Class A Common Stock held by Paine Schwartz Food Chain Fund V C, L.P. ("PSFC Fund V C"); (iii) 688,006 shares of Class A Common Stock held by Paine Schwartz Food Chain Fund V D, L.P. ("PSFC Fund V D"); and (iv) 47,619 shares of Class A Common Stock, 14,836,312 LP Units, and 14,836,312 shares of Class V Common Stock held by Suja Life Consortium Aggregator, L.P. ("Consortium Aggregator"). Paine Schwartz Food Chain Fund V, L.P. ("PSFC Fund V") is one of the members of Consortium Aggregator. The Reporting Person is the indirect general partner of PSFC Fund V, PSFC Fund V B, PSFC Fund V C, and PSFC Fund V D (together with PSFC Fund V, the "PSP Funds"). Consequently, the Reporting Person may be deemed the beneficial owner of the shares held by the PSP Funds. Pursuant to Rule 13d-4 of the Act, the Reporting Person declares that filing this Statement shall not be construed as an admission that the Reporting Person beneficially owns the reported securities, for the purposes of Section 13(d) and/or Section 13(g) of the Act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hereto.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response of the Reporting Person in Item 4(a) is incorporated into this Item 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Paine Schwartz Food Chain Fund V GP, Ltd.</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Renata Lombardi Malavazzi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Renata Lombardi Malavazzi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1186</Words>
  <Characters>5855</Characters>
  <CharactersWithSpaces>7032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