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530822d29_s8.htm"/>
      <w:bookmarkStart w:id="1" w:name="kstm2530822d29_s8"/>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May 8, 2026</w:t>
      </w:r>
    </w:p>
    <w:p>
      <w:pPr>
        <w:pStyle w:val="TextBody"/>
        <w:bidi w:val="0"/>
        <w:spacing w:before="0" w:after="0"/>
        <w:ind w:left="360" w:right="36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S-8</w:t>
        <w:br/>
        <w:t>REGISTRATION STATEMENT</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Suja Life,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3110"/>
        <w:gridCol w:w="1865"/>
      </w:tblGrid>
      <w:tr>
        <w:trPr/>
        <w:tc>
          <w:tcPr>
            <w:tcW w:w="3110" w:type="dxa"/>
            <w:tcBorders/>
            <w:vAlign w:val="center"/>
          </w:tcPr>
          <w:p>
            <w:pPr>
              <w:pStyle w:val="TableContents"/>
              <w:bidi w:val="0"/>
              <w:spacing w:before="0" w:after="283"/>
              <w:jc w:val="center"/>
              <w:rPr>
                <w:b/>
              </w:rPr>
            </w:pPr>
            <w:r>
              <w:rPr>
                <w:b/>
              </w:rPr>
              <w:t>Delaware</w:t>
              <w:br/>
              <w:t>(State or other jurisdiction of</w:t>
              <w:br/>
              <w:t>incorporation or organization)</w:t>
            </w:r>
          </w:p>
        </w:tc>
        <w:tc>
          <w:tcPr>
            <w:tcW w:w="1865" w:type="dxa"/>
            <w:tcBorders/>
            <w:vAlign w:val="center"/>
          </w:tcPr>
          <w:p>
            <w:pPr>
              <w:pStyle w:val="TableContents"/>
              <w:bidi w:val="0"/>
              <w:spacing w:before="0" w:after="283"/>
              <w:jc w:val="center"/>
              <w:rPr>
                <w:b/>
              </w:rPr>
            </w:pPr>
            <w:r>
              <w:rPr>
                <w:b/>
              </w:rPr>
              <w:t>39-4779189</w:t>
              <w:b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4055"/>
        <w:gridCol w:w="1130"/>
      </w:tblGrid>
      <w:tr>
        <w:trPr/>
        <w:tc>
          <w:tcPr>
            <w:tcW w:w="4055" w:type="dxa"/>
            <w:tcBorders/>
            <w:vAlign w:val="center"/>
          </w:tcPr>
          <w:p>
            <w:pPr>
              <w:pStyle w:val="TableContents"/>
              <w:bidi w:val="0"/>
              <w:spacing w:before="0" w:after="283"/>
              <w:jc w:val="center"/>
              <w:rPr>
                <w:b/>
              </w:rPr>
            </w:pPr>
            <w:r>
              <w:rPr>
                <w:b/>
              </w:rPr>
              <w:t>3831 Ocean Ranch Blvd.</w:t>
              <w:br/>
              <w:t>Oceanside, CA</w:t>
              <w:br/>
              <w:t>(Address of Principal Executive Offices)</w:t>
            </w:r>
          </w:p>
        </w:tc>
        <w:tc>
          <w:tcPr>
            <w:tcW w:w="1130" w:type="dxa"/>
            <w:tcBorders/>
            <w:vAlign w:val="center"/>
          </w:tcPr>
          <w:p>
            <w:pPr>
              <w:pStyle w:val="TableContents"/>
              <w:bidi w:val="0"/>
              <w:spacing w:before="0" w:after="283"/>
              <w:jc w:val="center"/>
              <w:rPr>
                <w:b/>
              </w:rPr>
            </w:pPr>
            <w:r>
              <w:rPr>
                <w:b/>
              </w:rPr>
              <w:t>92056</w:t>
              <w:b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Suja Life, Inc. 2026 Omnibus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title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Maria Stipp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3831 Ocean Ranch Blvd.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Oceanside, CA 92056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and address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(855) 879-7852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Copies of all communications, including communications sent to agent for service, should be sent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Michael P. Keeley, P.C.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 Richards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Kirkland &amp; Ellis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333 West Wolf Point Plaza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Chicago, IL 60654</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center"/>
              <w:rPr/>
            </w:pPr>
            <w:r>
              <w:rPr/>
              <w:t>☐</w:t>
            </w:r>
          </w:p>
        </w:tc>
      </w:tr>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before="0" w:after="283"/>
              <w:jc w:val="center"/>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center"/>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SECTION 10(a)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Suja Life, Inc. (the “Registrant”) will deliver or cause to be delivered to all participants in the Suja Life, Inc. 2026 Omnibus Incentive Plan (the “2026 Omnibus Plan”) documents containing the information required by Part I of Form S-8, in accordance with Rule 428(b)(1) under the Securities Act of 1933, as amended (the “Securities Act”). Such documents are not required to be, and are not, filed with the Securities and Exchange Commission (the “Commission”), either as part of this Registration Statement on Form S-8 (this “Registration Statement”) or as prospectuses or prospectus supplements pursuant to Rule 424 under the Securities Act. These documents, and the documents incorporated by reference in this Registration Statement pursuant to Item 3 of Part II hereof, taken together, constitute a prospectus that meets the requirements of Section 10(a)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Incorporation of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to the extent that information is deemed furnished and not filed pursuant to securities laws and regulations, the Registrant hereby incorporates by reference into this Registration Statement the following documents: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a)</w:t>
            </w:r>
          </w:p>
        </w:tc>
        <w:tc>
          <w:tcPr>
            <w:tcW w:w="10007" w:type="dxa"/>
            <w:tcBorders/>
            <w:vAlign w:val="center"/>
          </w:tcPr>
          <w:p>
            <w:pPr>
              <w:pStyle w:val="TableContents"/>
              <w:bidi w:val="0"/>
              <w:spacing w:before="0" w:after="283"/>
              <w:jc w:val="left"/>
              <w:rPr/>
            </w:pPr>
            <w:r>
              <w:rPr/>
              <w:t xml:space="preserve">the Registrant’s </w:t>
            </w:r>
            <w:hyperlink r:id="rId2">
              <w:r>
                <w:rPr>
                  <w:rStyle w:val="InternetLink"/>
                </w:rPr>
                <w:t>prospectus filed with the Commission pursuant to Rule 424(b) of the Securities Act on May 8, 2026</w:t>
              </w:r>
            </w:hyperlink>
            <w:r>
              <w:rPr/>
              <w:t>, relating to the Registrant’s Registration Statement on Form S-1 (File No. 333-294971);</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240"/>
        <w:gridCol w:w="9923"/>
      </w:tblGrid>
      <w:tr>
        <w:trPr/>
        <w:tc>
          <w:tcPr>
            <w:tcW w:w="4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b)</w:t>
            </w:r>
          </w:p>
        </w:tc>
        <w:tc>
          <w:tcPr>
            <w:tcW w:w="9923" w:type="dxa"/>
            <w:tcBorders/>
            <w:vAlign w:val="center"/>
          </w:tcPr>
          <w:p>
            <w:pPr>
              <w:pStyle w:val="TableContents"/>
              <w:bidi w:val="0"/>
              <w:spacing w:before="0" w:after="283"/>
              <w:jc w:val="left"/>
              <w:rPr/>
            </w:pPr>
            <w:r>
              <w:rPr/>
              <w:t xml:space="preserve">the Registrant’s </w:t>
            </w:r>
            <w:hyperlink r:id="rId3">
              <w:r>
                <w:rPr>
                  <w:rStyle w:val="InternetLink"/>
                </w:rPr>
                <w:t>Current Report on Form 8-K filed with the Commission on May 8, 2026</w:t>
              </w:r>
            </w:hyperlink>
            <w:r>
              <w:rPr/>
              <w: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3"/>
        <w:gridCol w:w="10025"/>
      </w:tblGrid>
      <w:tr>
        <w:trPr/>
        <w:tc>
          <w:tcPr>
            <w:tcW w:w="3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pPr>
            <w:r>
              <w:rPr/>
              <w:t>c)</w:t>
            </w:r>
          </w:p>
        </w:tc>
        <w:tc>
          <w:tcPr>
            <w:tcW w:w="10025" w:type="dxa"/>
            <w:tcBorders/>
            <w:vAlign w:val="center"/>
          </w:tcPr>
          <w:p>
            <w:pPr>
              <w:pStyle w:val="TableContents"/>
              <w:bidi w:val="0"/>
              <w:spacing w:before="0" w:after="283"/>
              <w:jc w:val="left"/>
              <w:rPr/>
            </w:pPr>
            <w:r>
              <w:rPr/>
              <w:t xml:space="preserve">the description of the Registrant’s Class A common stock contained in the Registrant’s Registration Statement on </w:t>
            </w:r>
            <w:hyperlink r:id="rId4">
              <w:r>
                <w:rPr>
                  <w:rStyle w:val="InternetLink"/>
                </w:rPr>
                <w:t>Form 8-A (File No. 001-43273) filed with the Commission on May 7, 2026</w:t>
              </w:r>
            </w:hyperlink>
            <w:r>
              <w:rPr/>
              <w:t xml:space="preserve"> pursuant to Section 12(b) of the Securities Exchange Act of 1934, as amended (the “Exchange Act”), including all other amendments and reports filed for the purpose of updating such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to the extent that information is deemed furnished and not filed pursuant to securities laws and regulations, all reports and other documents filed by the Registrant pursuant to Sections 13(a), 13(c), 14 and 15(d) of the Exchange Act, subsequent to the date hereof and prior to the filing of a post-effective amendment which indicates that all securities offered have been sold or that deregisters all securities then remaining unsold, shall also be deemed to be incorporated by reference herein, and to be a part hereof from the date of filing of such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Description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 Interests of Named Experts and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102(b)(7) of the Delaware General Corporation Law (the “DGCL”) allows a corporation to provide in its certificate of incorporation that a director or officer of the corporation will not be personally liable to the corporation or its stockholders for monetary damages for breach of fiduciary duty as a director or officer, except where the director or officer breached the duty of loyalty, failed to act in good faith, engaged in intentional misconduct or knowingly violated a law, authorized the payment of a dividend, or approved a stock repurchase in violation of Delaware corporate law, as applicable, or obtained an improper personal benefit. The Registrant’s Amended and Restated Certificate of Incorporation (the “Charter”) provides for this limitation of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DGCL (“Section 145”) provides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reasonably believed to be in or not opposed to the corporation’s best interests and, with respect to any criminal action or proceeding, had no reasonable cause to believe that his conduct was illegal. A Delaware corporation may indemnify any persons who are,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reasonably believed to be in or not opposed to the corporation’s best interests, provided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against the expenses which such officer or director has actually and reasonably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him and incurred by him in any such capacity, or arising out of his status as such, whether or not the corporation would otherwise have the power to indemnify him under Section 145.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Amended and Restated Bylaws (the “Bylaws”) provide that the Registrant will indemnify its directors and officers to the fullest extent authorized by the DGCL and must also pay expenses incurred in defending any such proceeding in advance of its final disposition upon delivery of an undertaking, by or on behalf of an indemnified person, to repay all amounts so advanced if it should be determined ultimately that such person is not entitled to be indemnified under this section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has entered into indemnification agreements, or will enter into separate indemnification agreements, with each of its executive officers and directors. The indemnification agreements provide the executive officers and directors with contractual rights to indemnification, expense advancement, and reimbursement to the fullest extent permitted under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indemnification rights set forth above are not exclusive of any other right which an indemnified person may have or hereafter acquire under any statute, provision of the Registrant’s Charter or Bylaws, agreement, vote of stockholders or disinterested directors,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maintains standard policies of insurance that provide coverage (1) to its directors and officers against loss arising from claims made by reason of breach of duty or other wrongful act and (2) to the Registrant with respect to indemnification payments that it may make to such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2026 Omnibus Plan provides that the committee that administers the 2026 Omnibus Plan (the “Committee”), its members and any designated person thereof shall not be liable for any action or determination made in good faith with respect to the 2026 Omnibus Plan. Further, to the maximum extent permitted by applicable law, no officer of the Registrant or member or former member of the Committee or of the board of the Registrant shall be liable for any action or determination made in good faith with respect to the 2026 Omnibus Plan or any award granted under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Exemption from Registration Claimed.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list of exhibits filed as part of this Registration Statement, which are incorporated herein:</w:t>
      </w:r>
    </w:p>
    <w:p>
      <w:pPr>
        <w:pStyle w:val="TextBody"/>
        <w:bidi w:val="0"/>
        <w:spacing w:before="0" w:after="0"/>
        <w:ind w:left="0" w:right="0" w:hanging="0"/>
        <w:jc w:val="left"/>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875"/>
        <w:gridCol w:w="1190"/>
      </w:tblGrid>
      <w:tr>
        <w:trPr/>
        <w:tc>
          <w:tcPr>
            <w:tcW w:w="875" w:type="dxa"/>
            <w:tcBorders/>
            <w:vAlign w:val="center"/>
          </w:tcPr>
          <w:p>
            <w:pPr>
              <w:pStyle w:val="TableContents"/>
              <w:bidi w:val="0"/>
              <w:spacing w:before="0" w:after="283"/>
              <w:jc w:val="left"/>
              <w:rPr>
                <w:b/>
              </w:rPr>
            </w:pPr>
            <w:r>
              <w:rPr>
                <w:b/>
              </w:rPr>
              <w:t>Exhibit</w:t>
              <w:br/>
              <w:t>Number</w:t>
            </w:r>
          </w:p>
        </w:tc>
        <w:tc>
          <w:tcPr>
            <w:tcW w:w="1190" w:type="dxa"/>
            <w:tcBorders/>
            <w:vAlign w:val="center"/>
          </w:tcPr>
          <w:p>
            <w:pPr>
              <w:pStyle w:val="TableContents"/>
              <w:bidi w:val="0"/>
              <w:spacing w:before="0" w:after="283"/>
              <w:jc w:val="center"/>
              <w:rPr>
                <w:b/>
              </w:rPr>
            </w:pPr>
            <w:r>
              <w:rPr>
                <w:b/>
              </w:rPr>
              <w:t>Description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283"/>
              <w:jc w:val="left"/>
              <w:rPr/>
            </w:pPr>
            <w:hyperlink r:id="rId5">
              <w:r>
                <w:rPr>
                  <w:rStyle w:val="InternetLink"/>
                </w:rPr>
                <w:t>4.1</w:t>
              </w:r>
            </w:hyperlink>
          </w:p>
        </w:tc>
        <w:tc>
          <w:tcPr>
            <w:tcW w:w="9885" w:type="dxa"/>
            <w:tcBorders/>
            <w:vAlign w:val="center"/>
          </w:tcPr>
          <w:p>
            <w:pPr>
              <w:pStyle w:val="TableContents"/>
              <w:bidi w:val="0"/>
              <w:spacing w:before="0" w:after="283"/>
              <w:jc w:val="left"/>
              <w:rPr/>
            </w:pPr>
            <w:hyperlink r:id="rId6">
              <w:r>
                <w:rPr>
                  <w:rStyle w:val="InternetLink"/>
                </w:rPr>
                <w:t>Amended and Restated Certificate of Incorporation of Suja Life, Inc. (incorporated by reference to Exhibit 3.1 to the Registrant’s Current Report on Form 8-K, filed with the Commission on May 8, 2026).</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283"/>
              <w:jc w:val="left"/>
              <w:rPr/>
            </w:pPr>
            <w:hyperlink r:id="rId7">
              <w:r>
                <w:rPr>
                  <w:rStyle w:val="InternetLink"/>
                </w:rPr>
                <w:t>4.2</w:t>
              </w:r>
            </w:hyperlink>
          </w:p>
        </w:tc>
        <w:tc>
          <w:tcPr>
            <w:tcW w:w="9885" w:type="dxa"/>
            <w:tcBorders/>
            <w:vAlign w:val="center"/>
          </w:tcPr>
          <w:p>
            <w:pPr>
              <w:pStyle w:val="TableContents"/>
              <w:bidi w:val="0"/>
              <w:spacing w:before="0" w:after="283"/>
              <w:jc w:val="left"/>
              <w:rPr/>
            </w:pPr>
            <w:hyperlink r:id="rId8">
              <w:r>
                <w:rPr>
                  <w:rStyle w:val="InternetLink"/>
                </w:rPr>
                <w:t>Amended and Restated Bylaws of Suja Life, Inc. (incorporated by reference to Exhibit 3.2 to the Registrant’s Current Report on Form 8-K, filed with the Commission on May 8, 2026).</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283"/>
              <w:jc w:val="left"/>
              <w:rPr/>
            </w:pPr>
            <w:hyperlink r:id="rId9">
              <w:r>
                <w:rPr>
                  <w:rStyle w:val="InternetLink"/>
                </w:rPr>
                <w:t>4.3</w:t>
              </w:r>
            </w:hyperlink>
          </w:p>
        </w:tc>
        <w:tc>
          <w:tcPr>
            <w:tcW w:w="9885" w:type="dxa"/>
            <w:tcBorders/>
            <w:vAlign w:val="center"/>
          </w:tcPr>
          <w:p>
            <w:pPr>
              <w:pStyle w:val="TableContents"/>
              <w:bidi w:val="0"/>
              <w:spacing w:before="0" w:after="283"/>
              <w:jc w:val="left"/>
              <w:rPr/>
            </w:pPr>
            <w:hyperlink r:id="rId10">
              <w:r>
                <w:rPr>
                  <w:rStyle w:val="InternetLink"/>
                </w:rPr>
                <w:t>Suja Life, Inc. 2026 Omnibus Incentive Plan (incorporated by reference to Exhibit 10.7 to the Registrant’s Current Report on Form 8-K, filed with the Commission on May 8, 2026).</w:t>
              </w:r>
            </w:hyperlink>
          </w:p>
        </w:tc>
      </w:tr>
    </w:tbl>
    <w:p>
      <w:pPr>
        <w:pStyle w:val="TextBody"/>
        <w:bidi w:val="0"/>
        <w:spacing w:before="0" w:after="0"/>
        <w:ind w:left="0" w:right="0" w:hanging="0"/>
        <w:jc w:val="left"/>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500"/>
        <w:gridCol w:w="3230"/>
      </w:tblGrid>
      <w:tr>
        <w:trPr/>
        <w:tc>
          <w:tcPr>
            <w:tcW w:w="500" w:type="dxa"/>
            <w:tcBorders/>
            <w:vAlign w:val="center"/>
          </w:tcPr>
          <w:p>
            <w:pPr>
              <w:pStyle w:val="TableContents"/>
              <w:bidi w:val="0"/>
              <w:spacing w:before="0" w:after="283"/>
              <w:jc w:val="left"/>
              <w:rPr/>
            </w:pPr>
            <w:hyperlink w:anchor="tm2530822d29_ex5-1.htm">
              <w:r>
                <w:rPr>
                  <w:rStyle w:val="InternetLink"/>
                </w:rPr>
                <w:t>5.1 *</w:t>
              </w:r>
            </w:hyperlink>
          </w:p>
        </w:tc>
        <w:tc>
          <w:tcPr>
            <w:tcW w:w="3230" w:type="dxa"/>
            <w:tcBorders/>
            <w:vAlign w:val="center"/>
          </w:tcPr>
          <w:p>
            <w:pPr>
              <w:pStyle w:val="TableContents"/>
              <w:bidi w:val="0"/>
              <w:spacing w:before="0" w:after="283"/>
              <w:jc w:val="left"/>
              <w:rPr/>
            </w:pPr>
            <w:hyperlink w:anchor="tm2530822d29_ex5-1.htm">
              <w:r>
                <w:rPr>
                  <w:rStyle w:val="InternetLink"/>
                </w:rPr>
                <w:t>Opinion of Kirkland &amp; Ellis LLP.</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9"/>
        <w:gridCol w:w="9596"/>
      </w:tblGrid>
      <w:tr>
        <w:trPr/>
        <w:tc>
          <w:tcPr>
            <w:tcW w:w="609" w:type="dxa"/>
            <w:tcBorders/>
            <w:vAlign w:val="center"/>
          </w:tcPr>
          <w:p>
            <w:pPr>
              <w:pStyle w:val="TableContents"/>
              <w:bidi w:val="0"/>
              <w:spacing w:before="0" w:after="283"/>
              <w:jc w:val="left"/>
              <w:rPr/>
            </w:pPr>
            <w:hyperlink w:anchor="tm2530822d29_ex23-1.htm">
              <w:r>
                <w:rPr>
                  <w:rStyle w:val="InternetLink"/>
                </w:rPr>
                <w:t>23.1 *</w:t>
              </w:r>
            </w:hyperlink>
          </w:p>
        </w:tc>
        <w:tc>
          <w:tcPr>
            <w:tcW w:w="9596" w:type="dxa"/>
            <w:tcBorders/>
            <w:vAlign w:val="center"/>
          </w:tcPr>
          <w:p>
            <w:pPr>
              <w:pStyle w:val="TableContents"/>
              <w:bidi w:val="0"/>
              <w:spacing w:before="0" w:after="283"/>
              <w:jc w:val="left"/>
              <w:rPr/>
            </w:pPr>
            <w:hyperlink w:anchor="tm2530822d29_ex23-1.htm">
              <w:r>
                <w:rPr>
                  <w:rStyle w:val="InternetLink"/>
                </w:rPr>
                <w:t>Consent of Deloitte &amp; Touche LLP, an independent registered public accounting firm, as to Suja Life, Inc.</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4"/>
        <w:gridCol w:w="9591"/>
      </w:tblGrid>
      <w:tr>
        <w:trPr/>
        <w:tc>
          <w:tcPr>
            <w:tcW w:w="614" w:type="dxa"/>
            <w:tcBorders/>
            <w:vAlign w:val="center"/>
          </w:tcPr>
          <w:p>
            <w:pPr>
              <w:pStyle w:val="TableContents"/>
              <w:bidi w:val="0"/>
              <w:spacing w:before="0" w:after="283"/>
              <w:jc w:val="left"/>
              <w:rPr/>
            </w:pPr>
            <w:hyperlink w:anchor="tm2530822d29_ex23-2.htm">
              <w:r>
                <w:rPr>
                  <w:rStyle w:val="InternetLink"/>
                </w:rPr>
                <w:t>23. 2 *</w:t>
              </w:r>
            </w:hyperlink>
          </w:p>
        </w:tc>
        <w:tc>
          <w:tcPr>
            <w:tcW w:w="9591" w:type="dxa"/>
            <w:tcBorders/>
            <w:vAlign w:val="center"/>
          </w:tcPr>
          <w:p>
            <w:pPr>
              <w:pStyle w:val="TableContents"/>
              <w:bidi w:val="0"/>
              <w:spacing w:before="0" w:after="283"/>
              <w:jc w:val="left"/>
              <w:rPr/>
            </w:pPr>
            <w:hyperlink w:anchor="tm2530822d29_ex23-2.htm">
              <w:r>
                <w:rPr>
                  <w:rStyle w:val="InternetLink"/>
                </w:rPr>
                <w:t>Consent of Deloitte &amp; Touche LLP, an independent registered public accounting firm, as to Suja Life Holdings, L.P.</w:t>
              </w:r>
            </w:hyperlink>
          </w:p>
        </w:tc>
      </w:tr>
    </w:tbl>
    <w:p>
      <w:pPr>
        <w:pStyle w:val="TextBody"/>
        <w:bidi w:val="0"/>
        <w:spacing w:before="0" w:after="0"/>
        <w:ind w:left="0" w:right="0" w:hanging="0"/>
        <w:jc w:val="left"/>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620"/>
        <w:gridCol w:w="5600"/>
      </w:tblGrid>
      <w:tr>
        <w:trPr/>
        <w:tc>
          <w:tcPr>
            <w:tcW w:w="620" w:type="dxa"/>
            <w:tcBorders/>
            <w:vAlign w:val="center"/>
          </w:tcPr>
          <w:p>
            <w:pPr>
              <w:pStyle w:val="TableContents"/>
              <w:bidi w:val="0"/>
              <w:spacing w:before="0" w:after="283"/>
              <w:jc w:val="left"/>
              <w:rPr/>
            </w:pPr>
            <w:hyperlink w:anchor="tm2530822d29_ex5-1.htm">
              <w:r>
                <w:rPr>
                  <w:rStyle w:val="InternetLink"/>
                </w:rPr>
                <w:t>23.3 *</w:t>
              </w:r>
            </w:hyperlink>
          </w:p>
        </w:tc>
        <w:tc>
          <w:tcPr>
            <w:tcW w:w="5600" w:type="dxa"/>
            <w:tcBorders/>
            <w:vAlign w:val="center"/>
          </w:tcPr>
          <w:p>
            <w:pPr>
              <w:pStyle w:val="TableContents"/>
              <w:bidi w:val="0"/>
              <w:spacing w:before="0" w:after="283"/>
              <w:jc w:val="left"/>
              <w:rPr/>
            </w:pPr>
            <w:hyperlink w:anchor="tm2530822d29_ex5-1.htm">
              <w:r>
                <w:rPr>
                  <w:rStyle w:val="InternetLink"/>
                </w:rPr>
                <w:t>Consent of Kirkland &amp; Ellis LLP (included in Exhibit 5.1).</w:t>
              </w:r>
            </w:hyperlink>
          </w:p>
        </w:tc>
      </w:tr>
    </w:tbl>
    <w:p>
      <w:pPr>
        <w:pStyle w:val="TextBody"/>
        <w:bidi w:val="0"/>
        <w:spacing w:before="0" w:after="0"/>
        <w:ind w:left="0" w:right="0" w:hanging="0"/>
        <w:jc w:val="left"/>
        <w:rPr>
          <w:caps w:val="false"/>
          <w:smallCaps w:val="false"/>
        </w:rPr>
      </w:pPr>
      <w:r>
        <w:rPr>
          <w:caps w:val="false"/>
          <w:smallCaps w:val="false"/>
        </w:rPr>
        <w:t> </w:t>
      </w:r>
    </w:p>
    <w:tbl>
      <w:tblPr>
        <w:tblW w:w="8950" w:type="dxa"/>
        <w:jc w:val="left"/>
        <w:tblInd w:w="0" w:type="dxa"/>
        <w:tblLayout w:type="fixed"/>
        <w:tblCellMar>
          <w:top w:w="0" w:type="dxa"/>
          <w:left w:w="0" w:type="dxa"/>
          <w:bottom w:w="0" w:type="dxa"/>
          <w:right w:w="0" w:type="dxa"/>
        </w:tblCellMar>
      </w:tblPr>
      <w:tblGrid>
        <w:gridCol w:w="545"/>
        <w:gridCol w:w="8405"/>
      </w:tblGrid>
      <w:tr>
        <w:trPr/>
        <w:tc>
          <w:tcPr>
            <w:tcW w:w="545" w:type="dxa"/>
            <w:tcBorders/>
            <w:vAlign w:val="center"/>
          </w:tcPr>
          <w:p>
            <w:pPr>
              <w:pStyle w:val="TableContents"/>
              <w:bidi w:val="0"/>
              <w:spacing w:before="0" w:after="283"/>
              <w:jc w:val="left"/>
              <w:rPr/>
            </w:pPr>
            <w:hyperlink w:anchor="a_001">
              <w:r>
                <w:rPr>
                  <w:rStyle w:val="InternetLink"/>
                  <w:rFonts w:ascii="Times New Roman;Times;Serif" w:hAnsi="Times New Roman;Times;Serif"/>
                  <w:sz w:val="20"/>
                </w:rPr>
                <w:t xml:space="preserve">24.1 </w:t>
              </w:r>
            </w:hyperlink>
            <w:hyperlink w:anchor="a_001">
              <w:r>
                <w:rPr>
                  <w:rStyle w:val="InternetLink"/>
                </w:rPr>
                <w:t>*</w:t>
              </w:r>
            </w:hyperlink>
          </w:p>
        </w:tc>
        <w:tc>
          <w:tcPr>
            <w:tcW w:w="8405" w:type="dxa"/>
            <w:tcBorders/>
            <w:vAlign w:val="center"/>
          </w:tcPr>
          <w:p>
            <w:pPr>
              <w:pStyle w:val="TableContents"/>
              <w:bidi w:val="0"/>
              <w:spacing w:before="0" w:after="283"/>
              <w:jc w:val="left"/>
              <w:rPr/>
            </w:pPr>
            <w:hyperlink w:anchor="a_001">
              <w:r>
                <w:rPr>
                  <w:rStyle w:val="InternetLink"/>
                </w:rPr>
                <w:t>Power of Attorney (included as part of the signature page of this Registration Statement).</w:t>
              </w:r>
            </w:hyperlink>
          </w:p>
        </w:tc>
      </w:tr>
    </w:tbl>
    <w:p>
      <w:pPr>
        <w:pStyle w:val="TextBody"/>
        <w:bidi w:val="0"/>
        <w:spacing w:before="0" w:after="283"/>
        <w:jc w:val="left"/>
        <w:rPr/>
      </w:pPr>
      <w:r>
        <w:rPr/>
        <w:t> </w:t>
      </w:r>
    </w:p>
    <w:tbl>
      <w:tblPr>
        <w:tblW w:w="2200" w:type="dxa"/>
        <w:jc w:val="left"/>
        <w:tblInd w:w="0" w:type="dxa"/>
        <w:tblLayout w:type="fixed"/>
        <w:tblCellMar>
          <w:top w:w="0" w:type="dxa"/>
          <w:left w:w="0" w:type="dxa"/>
          <w:bottom w:w="0" w:type="dxa"/>
          <w:right w:w="0" w:type="dxa"/>
        </w:tblCellMar>
      </w:tblPr>
      <w:tblGrid>
        <w:gridCol w:w="560"/>
        <w:gridCol w:w="1640"/>
      </w:tblGrid>
      <w:tr>
        <w:trPr/>
        <w:tc>
          <w:tcPr>
            <w:tcW w:w="560" w:type="dxa"/>
            <w:tcBorders/>
            <w:vAlign w:val="center"/>
          </w:tcPr>
          <w:p>
            <w:pPr>
              <w:pStyle w:val="TableContents"/>
              <w:bidi w:val="0"/>
              <w:spacing w:before="0" w:after="283"/>
              <w:jc w:val="left"/>
              <w:rPr/>
            </w:pPr>
            <w:hyperlink w:anchor="tm2530822d29_exfilingfees.htm">
              <w:r>
                <w:rPr>
                  <w:rStyle w:val="InternetLink"/>
                </w:rPr>
                <w:t>107 *</w:t>
              </w:r>
            </w:hyperlink>
          </w:p>
        </w:tc>
        <w:tc>
          <w:tcPr>
            <w:tcW w:w="1640" w:type="dxa"/>
            <w:tcBorders/>
            <w:vAlign w:val="center"/>
          </w:tcPr>
          <w:p>
            <w:pPr>
              <w:pStyle w:val="TableContents"/>
              <w:bidi w:val="0"/>
              <w:spacing w:before="0" w:after="283"/>
              <w:jc w:val="left"/>
              <w:rPr/>
            </w:pPr>
            <w:hyperlink w:anchor="tm2530822d29_exfilingfees.htm">
              <w:r>
                <w:rPr>
                  <w:rStyle w:val="InternetLink"/>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Undertakings.</w:t>
      </w:r>
    </w:p>
    <w:p>
      <w:pPr>
        <w:pStyle w:val="TextBody"/>
        <w:bidi w:val="0"/>
        <w:spacing w:before="0" w:after="0"/>
        <w:ind w:left="0" w:right="0" w:hanging="0"/>
        <w:jc w:val="left"/>
        <w:rPr>
          <w:caps w:val="false"/>
          <w:smallCaps w:val="false"/>
        </w:rPr>
      </w:pPr>
      <w:r>
        <w:rPr>
          <w:caps w:val="false"/>
          <w:smallCaps w:val="false"/>
        </w:rPr>
        <w:t> </w:t>
      </w:r>
    </w:p>
    <w:tbl>
      <w:tblPr>
        <w:tblW w:w="4803" w:type="dxa"/>
        <w:jc w:val="left"/>
        <w:tblInd w:w="0" w:type="dxa"/>
        <w:tblLayout w:type="fixed"/>
        <w:tblCellMar>
          <w:top w:w="0" w:type="dxa"/>
          <w:left w:w="0" w:type="dxa"/>
          <w:bottom w:w="0" w:type="dxa"/>
          <w:right w:w="0" w:type="dxa"/>
        </w:tblCellMar>
      </w:tblPr>
      <w:tblGrid>
        <w:gridCol w:w="38"/>
        <w:gridCol w:w="275"/>
        <w:gridCol w:w="449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4490" w:type="dxa"/>
            <w:tcBorders/>
            <w:vAlign w:val="center"/>
          </w:tcPr>
          <w:p>
            <w:pPr>
              <w:pStyle w:val="TableContents"/>
              <w:bidi w:val="0"/>
              <w:spacing w:before="0" w:after="283"/>
              <w:jc w:val="left"/>
              <w:rPr/>
            </w:pPr>
            <w:r>
              <w:rPr/>
              <w:t>The undersigned Registrant hereby undertakes: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6"/>
        <w:gridCol w:w="9892"/>
      </w:tblGrid>
      <w:tr>
        <w:trPr/>
        <w:tc>
          <w:tcPr>
            <w:tcW w:w="3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(1)</w:t>
            </w:r>
          </w:p>
        </w:tc>
        <w:tc>
          <w:tcPr>
            <w:tcW w:w="9892" w:type="dxa"/>
            <w:tcBorders/>
            <w:vAlign w:val="center"/>
          </w:tcPr>
          <w:p>
            <w:pPr>
              <w:pStyle w:val="TableContents"/>
              <w:bidi w:val="0"/>
              <w:spacing w:before="0" w:after="283"/>
              <w:jc w:val="left"/>
              <w:rPr/>
            </w:pPr>
            <w:r>
              <w:rPr/>
              <w:t>To file, during any period in which offers or sales are being made, a post-effective amendment to this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7295" w:type="dxa"/>
            <w:tcBorders/>
            <w:vAlign w:val="center"/>
          </w:tcPr>
          <w:p>
            <w:pPr>
              <w:pStyle w:val="TableContents"/>
              <w:bidi w:val="0"/>
              <w:spacing w:before="0" w:after="283"/>
              <w:jc w:val="left"/>
              <w:rPr/>
            </w:pPr>
            <w:r>
              <w:rPr/>
              <w:t>To include any prospectus required by Section 10(a)(3) of the Securities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(ii)</w:t>
            </w:r>
          </w:p>
        </w:tc>
        <w:tc>
          <w:tcPr>
            <w:tcW w:w="9945" w:type="dxa"/>
            <w:tcBorders/>
            <w:vAlign w:val="center"/>
          </w:tcPr>
          <w:p>
            <w:pPr>
              <w:pStyle w:val="TableContents"/>
              <w:bidi w:val="0"/>
              <w:spacing w:before="0" w:after="283"/>
              <w:jc w:val="left"/>
              <w:rPr/>
            </w:pPr>
            <w:r>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this effective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1"/>
        <w:gridCol w:w="9856"/>
      </w:tblGrid>
      <w:tr>
        <w:trPr/>
        <w:tc>
          <w:tcPr>
            <w:tcW w:w="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(iii)</w:t>
            </w:r>
          </w:p>
        </w:tc>
        <w:tc>
          <w:tcPr>
            <w:tcW w:w="9856" w:type="dxa"/>
            <w:tcBorders/>
            <w:vAlign w:val="center"/>
          </w:tcPr>
          <w:p>
            <w:pPr>
              <w:pStyle w:val="TableContents"/>
              <w:bidi w:val="0"/>
              <w:spacing w:before="0" w:after="283"/>
              <w:jc w:val="left"/>
              <w:rPr/>
            </w:pPr>
            <w:r>
              <w:rPr/>
              <w:t>To include any material information with respect to the plan of distribution not previously disclosed in the registration statement or any material change to such information in this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paragraphs (a)(1)(i) and (a)(1)(ii)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(2)</w:t>
            </w:r>
          </w:p>
        </w:tc>
        <w:tc>
          <w:tcPr>
            <w:tcW w:w="9929" w:type="dxa"/>
            <w:tcBorders/>
            <w:vAlign w:val="center"/>
          </w:tcPr>
          <w:p>
            <w:pPr>
              <w:pStyle w:val="TableContents"/>
              <w:bidi w:val="0"/>
              <w:spacing w:before="0" w:after="283"/>
              <w:jc w:val="left"/>
              <w:rPr/>
            </w:pPr>
            <w:r>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1"/>
        <w:gridCol w:w="9906"/>
      </w:tblGrid>
      <w:tr>
        <w:trPr/>
        <w:tc>
          <w:tcPr>
            <w:tcW w:w="3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(3)</w:t>
            </w:r>
          </w:p>
        </w:tc>
        <w:tc>
          <w:tcPr>
            <w:tcW w:w="9906" w:type="dxa"/>
            <w:tcBorders/>
            <w:vAlign w:val="center"/>
          </w:tcPr>
          <w:p>
            <w:pPr>
              <w:pStyle w:val="TableContents"/>
              <w:bidi w:val="0"/>
              <w:spacing w:before="0" w:after="283"/>
              <w:jc w:val="left"/>
              <w:rPr/>
            </w:pPr>
            <w:r>
              <w:rPr/>
              <w:t>To remove from registration by means of a post-effective amendment any of the securities being registered which remain unsold at the termination of the offering.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(b)</w:t>
            </w:r>
          </w:p>
        </w:tc>
        <w:tc>
          <w:tcPr>
            <w:tcW w:w="9941" w:type="dxa"/>
            <w:tcBorders/>
            <w:vAlign w:val="center"/>
          </w:tcPr>
          <w:p>
            <w:pPr>
              <w:pStyle w:val="TableContents"/>
              <w:bidi w:val="0"/>
              <w:spacing w:before="0" w:after="283"/>
              <w:jc w:val="left"/>
              <w:rPr/>
            </w:pPr>
            <w:r>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(c)</w:t>
            </w:r>
          </w:p>
        </w:tc>
        <w:tc>
          <w:tcPr>
            <w:tcW w:w="9961" w:type="dxa"/>
            <w:tcBorders/>
            <w:vAlign w:val="center"/>
          </w:tcPr>
          <w:p>
            <w:pPr>
              <w:pStyle w:val="TableContents"/>
              <w:bidi w:val="0"/>
              <w:spacing w:before="0" w:after="283"/>
              <w:jc w:val="left"/>
              <w:rPr/>
            </w:pPr>
            <w:r>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Oceanside, State of California, on May 8, 2026.</w:t>
      </w:r>
    </w:p>
    <w:p>
      <w:pPr>
        <w:pStyle w:val="TextBody"/>
        <w:bidi w:val="0"/>
        <w:spacing w:before="0" w:after="0"/>
        <w:ind w:left="0" w:right="0" w:hanging="0"/>
        <w:jc w:val="left"/>
        <w:rPr>
          <w:caps w:val="false"/>
          <w:smallCaps w:val="false"/>
        </w:rPr>
      </w:pPr>
      <w:r>
        <w:rPr>
          <w:caps w:val="false"/>
          <w:smallCaps w:val="false"/>
        </w:rPr>
        <w:t> </w:t>
      </w:r>
    </w:p>
    <w:tbl>
      <w:tblPr>
        <w:tblW w:w="1520" w:type="dxa"/>
        <w:jc w:val="left"/>
        <w:tblInd w:w="0" w:type="dxa"/>
        <w:tblLayout w:type="fixed"/>
        <w:tblCellMar>
          <w:top w:w="0" w:type="dxa"/>
          <w:left w:w="0" w:type="dxa"/>
          <w:bottom w:w="0" w:type="dxa"/>
          <w:right w:w="0" w:type="dxa"/>
        </w:tblCellMar>
      </w:tblPr>
      <w:tblGrid>
        <w:gridCol w:w="60"/>
        <w:gridCol w:w="1460"/>
      </w:tblGrid>
      <w:tr>
        <w:trPr/>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left"/>
              <w:rPr>
                <w:b/>
              </w:rPr>
            </w:pPr>
            <w:r>
              <w:rPr>
                <w:b/>
              </w:rPr>
              <w:t>Suja Life, Inc.</w:t>
            </w:r>
          </w:p>
        </w:tc>
      </w:tr>
    </w:tbl>
    <w:p>
      <w:pPr>
        <w:pStyle w:val="TextBody"/>
        <w:bidi w:val="0"/>
        <w:spacing w:before="0" w:after="0"/>
        <w:ind w:left="0" w:right="0" w:hanging="0"/>
        <w:jc w:val="left"/>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60"/>
        <w:gridCol w:w="365"/>
        <w:gridCol w:w="2225"/>
      </w:tblGrid>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225" w:type="dxa"/>
            <w:tcBorders>
              <w:bottom w:val="single" w:sz="8" w:space="0" w:color="000000"/>
            </w:tcBorders>
            <w:tcMar>
              <w:bottom w:w="28" w:type="dxa"/>
            </w:tcMar>
            <w:vAlign w:val="center"/>
          </w:tcPr>
          <w:p>
            <w:pPr>
              <w:pStyle w:val="TableContents"/>
              <w:bidi w:val="0"/>
              <w:spacing w:before="0" w:after="283"/>
              <w:jc w:val="left"/>
              <w:rPr/>
            </w:pPr>
            <w:r>
              <w:rPr/>
              <w:t>/s/ Maria Stipp</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Maria Stipp</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i/>
              </w:rPr>
            </w:pPr>
            <w:r>
              <w:rPr>
                <w:i/>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being a director or officer of Suja Life, Inc., hereby constitutes and appoints Maria Stipp and Jeff Pedersen, and each of them, either of whom may act without the joinder of the other, as such person’s true and lawful attorneys-in-fact, with full power of substitution and resubstitution, for such person and in such person’s name, place and stead, in any and all capacities, to execute this Registration Statement on Form S-8 and any and all amendments (including post-effective amendments) to this Registration Statement and to file the same, with all exhibits thereto and other documents in connection therewith, with the Securities and Exchange Commission, in such forms as they or any one of them may approve, granting unto said attorneys-in-fact full power and authority to do and perform each and every act and thing requisite and necessary to be done in connection therewith, as fully and to all intents and purposes as each of the undersigned might or could do in person, hereby ratifying and confirming all that said attorneys-in-fact, or their substitute or substitutes, each acting alone,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and the above Power of Attorney have been signed by the following persons in the capacities and on the date indicated.</w:t>
      </w:r>
    </w:p>
    <w:p>
      <w:pPr>
        <w:pStyle w:val="TextBody"/>
        <w:bidi w:val="0"/>
        <w:spacing w:before="0" w:after="0"/>
        <w:ind w:left="0" w:right="0" w:hanging="0"/>
        <w:jc w:val="left"/>
        <w:rPr>
          <w:caps w:val="false"/>
          <w:smallCaps w:val="false"/>
        </w:rPr>
      </w:pPr>
      <w:r>
        <w:rPr>
          <w:caps w:val="false"/>
          <w:smallCaps w:val="false"/>
        </w:rPr>
        <w:t> </w:t>
      </w:r>
    </w:p>
    <w:tbl>
      <w:tblPr>
        <w:tblW w:w="6570" w:type="dxa"/>
        <w:jc w:val="left"/>
        <w:tblInd w:w="0" w:type="dxa"/>
        <w:tblLayout w:type="fixed"/>
        <w:tblCellMar>
          <w:top w:w="0" w:type="dxa"/>
          <w:left w:w="0" w:type="dxa"/>
          <w:bottom w:w="28" w:type="dxa"/>
          <w:right w:w="0" w:type="dxa"/>
        </w:tblCellMar>
      </w:tblPr>
      <w:tblGrid>
        <w:gridCol w:w="1940"/>
        <w:gridCol w:w="60"/>
        <w:gridCol w:w="3275"/>
        <w:gridCol w:w="60"/>
        <w:gridCol w:w="1235"/>
      </w:tblGrid>
      <w:tr>
        <w:trPr/>
        <w:tc>
          <w:tcPr>
            <w:tcW w:w="1940" w:type="dxa"/>
            <w:tcBorders>
              <w:bottom w:val="single" w:sz="8" w:space="0" w:color="000000"/>
            </w:tcBorders>
            <w:vAlign w:val="center"/>
          </w:tcPr>
          <w:p>
            <w:pPr>
              <w:pStyle w:val="TableContents"/>
              <w:bidi w:val="0"/>
              <w:spacing w:before="0" w:after="283"/>
              <w:jc w:val="center"/>
              <w:rPr>
                <w:b/>
              </w:rPr>
            </w:pPr>
            <w:r>
              <w:rPr>
                <w:b/>
              </w:rPr>
              <w:t>Signature</w:t>
            </w:r>
          </w:p>
        </w:tc>
        <w:tc>
          <w:tcPr>
            <w:tcW w:w="60" w:type="dxa"/>
            <w:tcBorders/>
            <w:tcMar>
              <w:bottom w:w="0" w:type="dxa"/>
            </w:tcMar>
            <w:vAlign w:val="center"/>
          </w:tcPr>
          <w:p>
            <w:pPr>
              <w:pStyle w:val="TableContents"/>
              <w:bidi w:val="0"/>
              <w:spacing w:before="0" w:after="283"/>
              <w:jc w:val="left"/>
              <w:rPr/>
            </w:pPr>
            <w:r>
              <w:rPr/>
              <w:t> </w:t>
            </w:r>
          </w:p>
        </w:tc>
        <w:tc>
          <w:tcPr>
            <w:tcW w:w="3275" w:type="dxa"/>
            <w:tcBorders>
              <w:bottom w:val="single" w:sz="8" w:space="0" w:color="000000"/>
            </w:tcBorders>
            <w:vAlign w:val="center"/>
          </w:tcPr>
          <w:p>
            <w:pPr>
              <w:pStyle w:val="TableContents"/>
              <w:bidi w:val="0"/>
              <w:spacing w:before="0" w:after="283"/>
              <w:jc w:val="center"/>
              <w:rPr>
                <w:b/>
              </w:rPr>
            </w:pPr>
            <w:r>
              <w:rPr>
                <w:b/>
              </w:rPr>
              <w:t>Title</w:t>
            </w:r>
          </w:p>
        </w:tc>
        <w:tc>
          <w:tcPr>
            <w:tcW w:w="60" w:type="dxa"/>
            <w:tcBorders/>
            <w:tcMar>
              <w:bottom w:w="0" w:type="dxa"/>
            </w:tcMar>
            <w:vAlign w:val="center"/>
          </w:tcPr>
          <w:p>
            <w:pPr>
              <w:pStyle w:val="TableContents"/>
              <w:bidi w:val="0"/>
              <w:spacing w:before="0" w:after="283"/>
              <w:jc w:val="left"/>
              <w:rPr/>
            </w:pPr>
            <w:r>
              <w:rPr/>
              <w:t> </w:t>
            </w:r>
          </w:p>
        </w:tc>
        <w:tc>
          <w:tcPr>
            <w:tcW w:w="1235" w:type="dxa"/>
            <w:tcBorders>
              <w:bottom w:val="single" w:sz="8" w:space="0" w:color="000000"/>
            </w:tcBorders>
            <w:vAlign w:val="center"/>
          </w:tcPr>
          <w:p>
            <w:pPr>
              <w:pStyle w:val="TableContents"/>
              <w:bidi w:val="0"/>
              <w:spacing w:before="0" w:after="283"/>
              <w:jc w:val="center"/>
              <w:rPr>
                <w:b/>
              </w:rPr>
            </w:pPr>
            <w:r>
              <w:rPr>
                <w:b/>
              </w:rPr>
              <w:t>Date</w:t>
            </w:r>
          </w:p>
        </w:tc>
      </w:tr>
      <w:tr>
        <w:trPr/>
        <w:tc>
          <w:tcPr>
            <w:tcW w:w="194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40" w:type="dxa"/>
            <w:tcBorders>
              <w:bottom w:val="single" w:sz="8" w:space="0" w:color="000000"/>
            </w:tcBorders>
            <w:vAlign w:val="center"/>
          </w:tcPr>
          <w:p>
            <w:pPr>
              <w:pStyle w:val="TableContents"/>
              <w:bidi w:val="0"/>
              <w:spacing w:before="0" w:after="283"/>
              <w:jc w:val="center"/>
              <w:rPr/>
            </w:pPr>
            <w:r>
              <w:rPr/>
              <w:t>/s/ Maria Stipp</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center"/>
              <w:rPr/>
            </w:pPr>
            <w:r>
              <w:rPr/>
              <w:t>Chief Executive Officer (Principal</w:t>
            </w:r>
          </w:p>
        </w:tc>
        <w:tc>
          <w:tcPr>
            <w:tcW w:w="6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May 8, 2026</w:t>
            </w:r>
          </w:p>
        </w:tc>
      </w:tr>
      <w:tr>
        <w:trPr/>
        <w:tc>
          <w:tcPr>
            <w:tcW w:w="1940" w:type="dxa"/>
            <w:tcBorders/>
            <w:tcMar>
              <w:bottom w:w="0" w:type="dxa"/>
            </w:tcMar>
            <w:vAlign w:val="center"/>
          </w:tcPr>
          <w:p>
            <w:pPr>
              <w:pStyle w:val="TableContents"/>
              <w:bidi w:val="0"/>
              <w:spacing w:before="0" w:after="283"/>
              <w:jc w:val="center"/>
              <w:rPr/>
            </w:pPr>
            <w:r>
              <w:rPr/>
              <w:t>Maria Stipp</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center"/>
              <w:rPr/>
            </w:pPr>
            <w:r>
              <w:rPr/>
              <w:t>Executive Officer)</w:t>
            </w:r>
          </w:p>
        </w:tc>
        <w:tc>
          <w:tcPr>
            <w:tcW w:w="6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4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40" w:type="dxa"/>
            <w:tcBorders>
              <w:bottom w:val="single" w:sz="8" w:space="0" w:color="000000"/>
            </w:tcBorders>
            <w:vAlign w:val="center"/>
          </w:tcPr>
          <w:p>
            <w:pPr>
              <w:pStyle w:val="TableContents"/>
              <w:bidi w:val="0"/>
              <w:spacing w:before="0" w:after="283"/>
              <w:jc w:val="center"/>
              <w:rPr/>
            </w:pPr>
            <w:r>
              <w:rPr/>
              <w:t>/s/ Jeff Pedersen</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center"/>
              <w:rPr/>
            </w:pPr>
            <w:r>
              <w:rPr/>
              <w:t>Chief Financial Officer (Principal</w:t>
            </w:r>
          </w:p>
        </w:tc>
        <w:tc>
          <w:tcPr>
            <w:tcW w:w="6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May 8, 2026</w:t>
            </w:r>
          </w:p>
        </w:tc>
      </w:tr>
      <w:tr>
        <w:trPr/>
        <w:tc>
          <w:tcPr>
            <w:tcW w:w="1940" w:type="dxa"/>
            <w:tcBorders/>
            <w:tcMar>
              <w:bottom w:w="0" w:type="dxa"/>
            </w:tcMar>
            <w:vAlign w:val="center"/>
          </w:tcPr>
          <w:p>
            <w:pPr>
              <w:pStyle w:val="TableContents"/>
              <w:bidi w:val="0"/>
              <w:spacing w:before="0" w:after="283"/>
              <w:jc w:val="center"/>
              <w:rPr/>
            </w:pPr>
            <w:r>
              <w:rPr/>
              <w:t>Jeff Pedersen</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center"/>
              <w:rPr/>
            </w:pPr>
            <w:r>
              <w:rPr/>
              <w:t>Financial and Accounting Officer)</w:t>
            </w:r>
          </w:p>
        </w:tc>
        <w:tc>
          <w:tcPr>
            <w:tcW w:w="6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4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40" w:type="dxa"/>
            <w:tcBorders>
              <w:bottom w:val="single" w:sz="8" w:space="0" w:color="000000"/>
            </w:tcBorders>
            <w:vAlign w:val="center"/>
          </w:tcPr>
          <w:p>
            <w:pPr>
              <w:pStyle w:val="TableContents"/>
              <w:bidi w:val="0"/>
              <w:spacing w:before="0" w:after="283"/>
              <w:jc w:val="center"/>
              <w:rPr/>
            </w:pPr>
            <w:r>
              <w:rPr/>
              <w:t>/s/ Alex Corbacho</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May 8, 2026</w:t>
            </w:r>
          </w:p>
        </w:tc>
      </w:tr>
      <w:tr>
        <w:trPr/>
        <w:tc>
          <w:tcPr>
            <w:tcW w:w="1940" w:type="dxa"/>
            <w:tcBorders/>
            <w:tcMar>
              <w:bottom w:w="0" w:type="dxa"/>
            </w:tcMar>
            <w:vAlign w:val="center"/>
          </w:tcPr>
          <w:p>
            <w:pPr>
              <w:pStyle w:val="TableContents"/>
              <w:bidi w:val="0"/>
              <w:spacing w:before="0" w:after="283"/>
              <w:jc w:val="center"/>
              <w:rPr/>
            </w:pPr>
            <w:r>
              <w:rPr/>
              <w:t>Alex Corbacho</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4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40" w:type="dxa"/>
            <w:tcBorders>
              <w:bottom w:val="single" w:sz="8" w:space="0" w:color="000000"/>
            </w:tcBorders>
            <w:vAlign w:val="center"/>
          </w:tcPr>
          <w:p>
            <w:pPr>
              <w:pStyle w:val="TableContents"/>
              <w:bidi w:val="0"/>
              <w:spacing w:before="0" w:after="283"/>
              <w:jc w:val="center"/>
              <w:rPr/>
            </w:pPr>
            <w:r>
              <w:rPr/>
              <w:t>/s/ Robert DeBorde</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May 8, 2026</w:t>
            </w:r>
          </w:p>
        </w:tc>
      </w:tr>
      <w:tr>
        <w:trPr/>
        <w:tc>
          <w:tcPr>
            <w:tcW w:w="1940" w:type="dxa"/>
            <w:tcBorders/>
            <w:tcMar>
              <w:bottom w:w="0" w:type="dxa"/>
            </w:tcMar>
            <w:vAlign w:val="center"/>
          </w:tcPr>
          <w:p>
            <w:pPr>
              <w:pStyle w:val="TableContents"/>
              <w:bidi w:val="0"/>
              <w:spacing w:before="0" w:after="283"/>
              <w:jc w:val="center"/>
              <w:rPr/>
            </w:pPr>
            <w:r>
              <w:rPr/>
              <w:t>Robert DeBorde</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4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40" w:type="dxa"/>
            <w:tcBorders>
              <w:bottom w:val="single" w:sz="8" w:space="0" w:color="000000"/>
            </w:tcBorders>
            <w:vAlign w:val="center"/>
          </w:tcPr>
          <w:p>
            <w:pPr>
              <w:pStyle w:val="TableContents"/>
              <w:bidi w:val="0"/>
              <w:spacing w:before="0" w:after="283"/>
              <w:jc w:val="center"/>
              <w:rPr/>
            </w:pPr>
            <w:r>
              <w:rPr/>
              <w:t>/s/ Randy Papadellis</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May 8, 2026</w:t>
            </w:r>
          </w:p>
        </w:tc>
      </w:tr>
      <w:tr>
        <w:trPr/>
        <w:tc>
          <w:tcPr>
            <w:tcW w:w="1940" w:type="dxa"/>
            <w:tcBorders/>
            <w:tcMar>
              <w:bottom w:w="0" w:type="dxa"/>
            </w:tcMar>
            <w:vAlign w:val="center"/>
          </w:tcPr>
          <w:p>
            <w:pPr>
              <w:pStyle w:val="TableContents"/>
              <w:bidi w:val="0"/>
              <w:spacing w:before="0" w:after="283"/>
              <w:jc w:val="center"/>
              <w:rPr/>
            </w:pPr>
            <w:r>
              <w:rPr/>
              <w:t>Randy Papadellis</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4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40" w:type="dxa"/>
            <w:tcBorders>
              <w:bottom w:val="single" w:sz="8" w:space="0" w:color="000000"/>
            </w:tcBorders>
            <w:vAlign w:val="center"/>
          </w:tcPr>
          <w:p>
            <w:pPr>
              <w:pStyle w:val="TableContents"/>
              <w:bidi w:val="0"/>
              <w:spacing w:before="0" w:after="283"/>
              <w:jc w:val="center"/>
              <w:rPr/>
            </w:pPr>
            <w:r>
              <w:rPr/>
              <w:t>/s/ Mark Partin</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May 8, 2026</w:t>
            </w:r>
          </w:p>
        </w:tc>
      </w:tr>
      <w:tr>
        <w:trPr/>
        <w:tc>
          <w:tcPr>
            <w:tcW w:w="1940" w:type="dxa"/>
            <w:tcBorders/>
            <w:tcMar>
              <w:bottom w:w="0" w:type="dxa"/>
            </w:tcMar>
            <w:vAlign w:val="center"/>
          </w:tcPr>
          <w:p>
            <w:pPr>
              <w:pStyle w:val="TableContents"/>
              <w:bidi w:val="0"/>
              <w:spacing w:before="0" w:after="283"/>
              <w:jc w:val="center"/>
              <w:rPr/>
            </w:pPr>
            <w:r>
              <w:rPr/>
              <w:t>Mark Partin</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4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40" w:type="dxa"/>
            <w:tcBorders>
              <w:bottom w:val="single" w:sz="8" w:space="0" w:color="000000"/>
            </w:tcBorders>
            <w:vAlign w:val="center"/>
          </w:tcPr>
          <w:p>
            <w:pPr>
              <w:pStyle w:val="TableContents"/>
              <w:bidi w:val="0"/>
              <w:spacing w:before="0" w:after="283"/>
              <w:jc w:val="center"/>
              <w:rPr/>
            </w:pPr>
            <w:r>
              <w:rPr/>
              <w:t>/s/ Kevin Schwartz</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May 8, 2026</w:t>
            </w:r>
          </w:p>
        </w:tc>
      </w:tr>
      <w:tr>
        <w:trPr/>
        <w:tc>
          <w:tcPr>
            <w:tcW w:w="1940" w:type="dxa"/>
            <w:tcBorders/>
            <w:tcMar>
              <w:bottom w:w="0" w:type="dxa"/>
            </w:tcMar>
            <w:vAlign w:val="center"/>
          </w:tcPr>
          <w:p>
            <w:pPr>
              <w:pStyle w:val="TableContents"/>
              <w:bidi w:val="0"/>
              <w:spacing w:before="0" w:after="283"/>
              <w:jc w:val="center"/>
              <w:rPr/>
            </w:pPr>
            <w:r>
              <w:rPr/>
              <w:t>Kevin Schwartz</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4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40" w:type="dxa"/>
            <w:tcBorders>
              <w:bottom w:val="single" w:sz="8" w:space="0" w:color="000000"/>
            </w:tcBorders>
            <w:vAlign w:val="center"/>
          </w:tcPr>
          <w:p>
            <w:pPr>
              <w:pStyle w:val="TableContents"/>
              <w:bidi w:val="0"/>
              <w:spacing w:before="0" w:after="283"/>
              <w:jc w:val="center"/>
              <w:rPr/>
            </w:pPr>
            <w:r>
              <w:rPr/>
              <w:t>/s/ Kathy Vrabeck</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May 8, 2026</w:t>
            </w:r>
          </w:p>
        </w:tc>
      </w:tr>
      <w:tr>
        <w:trPr/>
        <w:tc>
          <w:tcPr>
            <w:tcW w:w="1940" w:type="dxa"/>
            <w:tcBorders/>
            <w:tcMar>
              <w:bottom w:w="0" w:type="dxa"/>
            </w:tcMar>
            <w:vAlign w:val="center"/>
          </w:tcPr>
          <w:p>
            <w:pPr>
              <w:pStyle w:val="TableContents"/>
              <w:bidi w:val="0"/>
              <w:spacing w:before="0" w:after="283"/>
              <w:jc w:val="center"/>
              <w:rPr/>
            </w:pPr>
            <w:r>
              <w:rPr/>
              <w:t>Kathy Vrabeck</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3" w:name="tm2530822d29_ex5-1.htm"/>
      <w:bookmarkStart w:id="4" w:name="kstm2530822d29_ex51"/>
      <w:bookmarkEnd w:id="3"/>
      <w:bookmarkEnd w:id="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left"/>
        <w:rPr>
          <w:caps w:val="false"/>
          <w:smallCaps w:val="false"/>
        </w:rPr>
      </w:pPr>
      <w:r>
        <w:rPr>
          <w:caps w:val="false"/>
          <w:smallCaps w:val="false"/>
        </w:rPr>
        <w:t> </w:t>
      </w:r>
    </w:p>
    <w:tbl>
      <w:tblPr>
        <w:tblW w:w="4185" w:type="dxa"/>
        <w:jc w:val="left"/>
        <w:tblInd w:w="0" w:type="dxa"/>
        <w:tblLayout w:type="fixed"/>
        <w:tblCellMar>
          <w:top w:w="0" w:type="dxa"/>
          <w:left w:w="0" w:type="dxa"/>
          <w:bottom w:w="0" w:type="dxa"/>
          <w:right w:w="0" w:type="dxa"/>
        </w:tblCellMar>
      </w:tblPr>
      <w:tblGrid>
        <w:gridCol w:w="125"/>
        <w:gridCol w:w="2594"/>
        <w:gridCol w:w="1466"/>
      </w:tblGrid>
      <w:tr>
        <w:trPr/>
        <w:tc>
          <w:tcPr>
            <w:tcW w:w="4185" w:type="dxa"/>
            <w:gridSpan w:val="3"/>
            <w:tcBorders/>
            <w:vAlign w:val="center"/>
          </w:tcPr>
          <w:p>
            <w:pPr>
              <w:pStyle w:val="TableContents"/>
              <w:bidi w:val="0"/>
              <w:spacing w:before="0" w:after="283"/>
              <w:jc w:val="center"/>
              <w:rPr/>
            </w:pPr>
            <w:r>
              <w:rPr/>
              <w:drawing>
                <wp:inline distT="0" distB="0" distL="0" distR="0">
                  <wp:extent cx="2600325" cy="285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1"/>
                          <a:stretch>
                            <a:fillRect/>
                          </a:stretch>
                        </pic:blipFill>
                        <pic:spPr bwMode="auto">
                          <a:xfrm>
                            <a:off x="0" y="0"/>
                            <a:ext cx="2600325" cy="285750"/>
                          </a:xfrm>
                          <a:prstGeom prst="rect">
                            <a:avLst/>
                          </a:prstGeom>
                        </pic:spPr>
                      </pic:pic>
                    </a:graphicData>
                  </a:graphic>
                </wp:inline>
              </w:drawing>
            </w:r>
            <w:r>
              <w:rPr/>
              <w:t> </w:t>
            </w:r>
          </w:p>
        </w:tc>
      </w:tr>
      <w:tr>
        <w:trPr/>
        <w:tc>
          <w:tcPr>
            <w:tcW w:w="4185" w:type="dxa"/>
            <w:gridSpan w:val="3"/>
            <w:tcBorders/>
            <w:vAlign w:val="center"/>
          </w:tcPr>
          <w:p>
            <w:pPr>
              <w:pStyle w:val="TableContents"/>
              <w:bidi w:val="0"/>
              <w:spacing w:before="0" w:after="283"/>
              <w:jc w:val="center"/>
              <w:rPr/>
            </w:pPr>
            <w:r>
              <w:rPr/>
              <w:t> </w:t>
            </w:r>
          </w:p>
        </w:tc>
      </w:tr>
      <w:tr>
        <w:trPr/>
        <w:tc>
          <w:tcPr>
            <w:tcW w:w="125" w:type="dxa"/>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c>
          <w:tcPr>
            <w:tcW w:w="2594"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West Wolf Point Plaza</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IL 60654</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br/>
              <w:br/>
              <w:t>+1 312 862 2000</w:t>
              <w:br/>
              <w:br/>
              <w:t>www.kirkland.com</w:t>
            </w:r>
          </w:p>
        </w:tc>
        <w:tc>
          <w:tcPr>
            <w:tcW w:w="146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Facsimile:</w:t>
              <w:br/>
              <w:t>+1 312 862 2200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Suja Life,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3831 Ocean Ranch Blvd.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Oceanside, CA 92056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Registration Statement on 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for Suja Life, Inc., a Delaware corporation (the “Company”), in connection with the Registration Statement on Form S-8 (the “Registration Statement”) to be filed with the U.S. Securities and Exchange Commission (the “Commission”) on or about the date hereof under the Securities Act of 1933, as amended (the “Act”), relating to the issuance by the Company of an aggregate of up to 10,000,000 shares (the “Shares”) of the Company’s Class A common stock, par value $0.0001 per share (the “Common Stock”), that may be issued by the Company under the Suja Life, Inc. 2026 Omnibus Incentive Plan (the “Plan”), including shares of Common Stock reserved for issuance as a result of annual evergreen increases under the Plan and shares that may again become available for delivery with respect to awards under the Plan pursuant to the share counting, share recycling and other terms and conditions, as and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reaching the opinion set forth herein, we have examined originals or copies, certified or otherwise identified to our satisfaction, of such documents and records of the Company and such statutes, regulations and other instruments as we deemed necessary or advisable for purposes of this opinion, including (i) the corporate and organizational documents of the Company, (ii) minutes and records of the corporate proceedings of the Company with respect to the Registration Statement, (iii) the Plan and (iv) the Registration Statement and the exhibits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assumed the authenticity of all documents submitted to us as originals, the conformity to the originals of all documents submitted to us as copies and the authenticity of the originals of all documents submitted to us as copies. We have also assumed the legal capacity of all natural persons, the genuineness of the signatures of persons signing all documents in connection with which this opinion is rendered, the authority of such persons signing on behalf of the parties thereto (other than the Company) and the due authorization, execution and delivery of all documents by the parties thereto (other than the Company). We have not independently established or verified any facts relevant to the opinion expressed herein, but have relied upon statements and representations of the officers and other representatives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600325" cy="285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2"/>
                    <a:stretch>
                      <a:fillRect/>
                    </a:stretch>
                  </pic:blipFill>
                  <pic:spPr bwMode="auto">
                    <a:xfrm>
                      <a:off x="0" y="0"/>
                      <a:ext cx="2600325" cy="2857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Suja Life, Inc.</w:t>
        <w:br/>
        <w:t>May 8, 2026</w:t>
        <w:br/>
        <w:t xml:space="preserve">Page 2 </w:t>
      </w:r>
      <w:r>
        <w:rPr>
          <w:rFonts w:ascii="Times New Roman;Times;Serif" w:hAnsi="Times New Roman;Times;Serif"/>
          <w:b w:val="false"/>
          <w:i w:val="false"/>
          <w:caps/>
          <w:color w:val="808080"/>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further assumed that at all future times relevant to this opinion the number of shares of Common Stock that the Company is authorized to issue pursuant to its charter will exceed the number of shares of Common Stock outstanding and the number of shares of Common Stock that the Company is obligated to issue (or had otherwise reserved for issuance) for any purposes by at least the number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qualifications, assumptions and limitations and the further limitations set forth below, we are of the opinion that the Shares have been duly authorized and, when issued, delivered and paid for in accordance with the terms of the Plan and the Company’s Amended and Restated Certificate of Incorporation and the Company’s Amended and Restated Bylaws, the Shares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find it necessary for the purposes of this opinion, and accordingly we do not purport to cover herein, the application of the securities or “Blue Sky” laws of the various states to the issuance and sale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limited in all respects to the General Corporation Law of the State of Delaware. We express no opinion as to any other law or any matter other than as expressly set forth above, and no opinion as to any other law or matter may be inferred or implied herefrom. The opinion expressed herein is rendered as of the date hereof, and we expressly disclaim any obligation to update or supplement this letter or advise you of any change in any matter after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may be filed as an exhibit to the Registration Statement. In giving this consent, we do not thereby admit that we come within the category of persons whose consent is required under Section 7 of the Act or the rules and regulations of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furnished to you in connection with the filing of the Registration Statement in accordance with the requirements of Item 601(b)(5) of Regulation S-K under the Act, and is not to be used, circulated, quoted or otherwise relied upon for any other purpose.</w:t>
      </w:r>
    </w:p>
    <w:p>
      <w:pPr>
        <w:pStyle w:val="TextBody"/>
        <w:bidi w:val="0"/>
        <w:spacing w:before="0" w:after="0"/>
        <w:ind w:left="0" w:right="0" w:hanging="0"/>
        <w:jc w:val="left"/>
        <w:rPr>
          <w:caps w:val="false"/>
          <w:smallCaps w:val="false"/>
        </w:rPr>
      </w:pPr>
      <w:r>
        <w:rPr>
          <w:caps w:val="false"/>
          <w:smallCaps w:val="false"/>
        </w:rPr>
        <w:t> </w:t>
      </w:r>
    </w:p>
    <w:tbl>
      <w:tblPr>
        <w:tblW w:w="1025" w:type="dxa"/>
        <w:jc w:val="left"/>
        <w:tblInd w:w="0" w:type="dxa"/>
        <w:tblLayout w:type="fixed"/>
        <w:tblCellMar>
          <w:top w:w="0" w:type="dxa"/>
          <w:left w:w="0" w:type="dxa"/>
          <w:bottom w:w="0" w:type="dxa"/>
          <w:right w:w="0" w:type="dxa"/>
        </w:tblCellMar>
      </w:tblPr>
      <w:tblGrid>
        <w:gridCol w:w="60"/>
        <w:gridCol w:w="965"/>
      </w:tblGrid>
      <w:tr>
        <w:trPr/>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Sincerely,</w:t>
            </w:r>
          </w:p>
        </w:tc>
      </w:tr>
    </w:tbl>
    <w:p>
      <w:pPr>
        <w:pStyle w:val="TextBody"/>
        <w:bidi w:val="0"/>
        <w:spacing w:before="0" w:after="0"/>
        <w:ind w:left="0" w:right="0" w:hanging="0"/>
        <w:jc w:val="left"/>
        <w:rPr>
          <w:caps w:val="false"/>
          <w:smallCaps w:val="false"/>
        </w:rPr>
      </w:pPr>
      <w:r>
        <w:rPr>
          <w:caps w:val="false"/>
          <w:smallCaps w:val="false"/>
        </w:rPr>
        <w:t> </w:t>
      </w:r>
    </w:p>
    <w:tbl>
      <w:tblPr>
        <w:tblW w:w="1910" w:type="dxa"/>
        <w:jc w:val="left"/>
        <w:tblInd w:w="0" w:type="dxa"/>
        <w:tblLayout w:type="fixed"/>
        <w:tblCellMar>
          <w:top w:w="0" w:type="dxa"/>
          <w:left w:w="0" w:type="dxa"/>
          <w:bottom w:w="0" w:type="dxa"/>
          <w:right w:w="0" w:type="dxa"/>
        </w:tblCellMar>
      </w:tblPr>
      <w:tblGrid>
        <w:gridCol w:w="60"/>
        <w:gridCol w:w="1850"/>
      </w:tblGrid>
      <w:tr>
        <w:trPr/>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pPr>
            <w:r>
              <w:rPr/>
              <w:t>/s/ Kirkland &amp; Ellis</w:t>
            </w:r>
          </w:p>
        </w:tc>
      </w:tr>
    </w:tbl>
    <w:p>
      <w:pPr>
        <w:pStyle w:val="TextBody"/>
        <w:bidi w:val="0"/>
        <w:spacing w:before="0" w:after="0"/>
        <w:ind w:left="0" w:right="0" w:hanging="0"/>
        <w:jc w:val="left"/>
        <w:rPr>
          <w:caps w:val="false"/>
          <w:smallCaps w:val="false"/>
        </w:rPr>
      </w:pPr>
      <w:r>
        <w:rPr>
          <w:caps w:val="false"/>
          <w:smallCaps w:val="false"/>
        </w:rPr>
        <w:t> </w:t>
      </w:r>
    </w:p>
    <w:tbl>
      <w:tblPr>
        <w:tblW w:w="2825" w:type="dxa"/>
        <w:jc w:val="left"/>
        <w:tblInd w:w="0" w:type="dxa"/>
        <w:tblLayout w:type="fixed"/>
        <w:tblCellMar>
          <w:top w:w="0" w:type="dxa"/>
          <w:left w:w="0" w:type="dxa"/>
          <w:bottom w:w="0" w:type="dxa"/>
          <w:right w:w="0" w:type="dxa"/>
        </w:tblCellMar>
      </w:tblPr>
      <w:tblGrid>
        <w:gridCol w:w="60"/>
        <w:gridCol w:w="2765"/>
      </w:tblGrid>
      <w:tr>
        <w:trPr/>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pPr>
            <w:r>
              <w:rPr/>
              <w:t>KIRKLAND &amp; ELLIS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5" w:name="tm2530822d29_ex23-1.htm"/>
      <w:bookmarkStart w:id="6" w:name="kstm2530822d29_ex231"/>
      <w:bookmarkEnd w:id="5"/>
      <w:bookmarkEnd w:id="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S-8 of our report dated March 20, 2026, relating to the financial statement of Suja Life, Inc. appearing in Registration Statement No. 333-294971 on Form S-1 of Suja Life,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Deloitte &amp; Touche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Diego, California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7" w:name="tm2530822d29_ex23-2.htm"/>
      <w:bookmarkStart w:id="8" w:name="kstm2530822d29_ex232"/>
      <w:bookmarkEnd w:id="7"/>
      <w:bookmarkEnd w:id="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S-8 of our report dated March 20, 2026, relating to the financial statements of Suja Life Holdings, L.P. appearing in Registration Statement No. 333-294971 on Form S-1 of Suja Life,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Deloitte &amp; Touche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Diego, California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 w:name="tm2530822d29_exfilingfees.htm"/>
      <w:bookmarkStart w:id="10" w:name="kstm2530822d29_exfilingfees"/>
      <w:bookmarkStart w:id="11" w:name="tm2530822d29_exfilingfees.htm"/>
      <w:bookmarkStart w:id="12" w:name="kstm2530822d29_exfilingfees"/>
      <w:bookmarkEnd w:id="11"/>
      <w:bookmarkEnd w:id="12"/>
      <w:r>
        <w:br w:type="page"/>
      </w:r>
    </w:p>
    <w:tbl>
      <w:tblPr>
        <w:tblW w:w="3566" w:type="dxa"/>
        <w:jc w:val="left"/>
        <w:tblInd w:w="0" w:type="dxa"/>
        <w:tblLayout w:type="fixed"/>
        <w:tblCellMar>
          <w:top w:w="28" w:type="dxa"/>
          <w:left w:w="28" w:type="dxa"/>
          <w:bottom w:w="28" w:type="dxa"/>
          <w:right w:w="28" w:type="dxa"/>
        </w:tblCellMar>
      </w:tblPr>
      <w:tblGrid>
        <w:gridCol w:w="3412"/>
        <w:gridCol w:w="154"/>
      </w:tblGrid>
      <w:tr>
        <w:trPr/>
        <w:tc>
          <w:tcPr>
            <w:tcW w:w="3566"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2"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12" w:type="dxa"/>
            <w:tcBorders/>
            <w:vAlign w:val="center"/>
          </w:tcPr>
          <w:p>
            <w:pPr>
              <w:pStyle w:val="TableContents"/>
              <w:bidi w:val="0"/>
              <w:spacing w:before="0" w:after="283"/>
              <w:jc w:val="left"/>
              <w:rPr>
                <w:b/>
              </w:rPr>
            </w:pPr>
            <w:r>
              <w:rPr>
                <w:b/>
              </w:rPr>
              <w:t xml:space="preserve">SUJA LIFE,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49"/>
        <w:gridCol w:w="1039"/>
        <w:gridCol w:w="1281"/>
        <w:gridCol w:w="1191"/>
        <w:gridCol w:w="1174"/>
        <w:gridCol w:w="1796"/>
        <w:gridCol w:w="1126"/>
        <w:gridCol w:w="1408"/>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49"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39"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81"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91"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74"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9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08"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49" w:type="dxa"/>
            <w:tcBorders/>
            <w:shd w:fill="E7E7E2" w:val="clear"/>
            <w:vAlign w:val="center"/>
          </w:tcPr>
          <w:p>
            <w:pPr>
              <w:pStyle w:val="TableContents"/>
              <w:bidi w:val="0"/>
              <w:spacing w:before="0" w:after="283"/>
              <w:jc w:val="left"/>
              <w:rPr/>
            </w:pPr>
            <w:r>
              <w:rPr/>
              <w:t xml:space="preserve">Equity </w:t>
            </w:r>
          </w:p>
        </w:tc>
        <w:tc>
          <w:tcPr>
            <w:tcW w:w="1039" w:type="dxa"/>
            <w:tcBorders/>
            <w:shd w:fill="E7E7E2" w:val="clear"/>
            <w:vAlign w:val="center"/>
          </w:tcPr>
          <w:p>
            <w:pPr>
              <w:pStyle w:val="TableContents"/>
              <w:bidi w:val="0"/>
              <w:spacing w:before="0" w:after="283"/>
              <w:jc w:val="left"/>
              <w:rPr/>
            </w:pPr>
            <w:r>
              <w:rPr/>
              <w:t xml:space="preserve">Class A common stock, par value $0.0001 per share, reserved for issuance pursuant to the Suja Life, Inc. 2026 Omnibus Incentive Plan </w:t>
            </w:r>
          </w:p>
        </w:tc>
        <w:tc>
          <w:tcPr>
            <w:tcW w:w="1281" w:type="dxa"/>
            <w:tcBorders/>
            <w:shd w:fill="E7E7E2" w:val="clear"/>
            <w:vAlign w:val="center"/>
          </w:tcPr>
          <w:p>
            <w:pPr>
              <w:pStyle w:val="TableContents"/>
              <w:bidi w:val="0"/>
              <w:spacing w:before="0" w:after="283"/>
              <w:jc w:val="center"/>
              <w:rPr/>
            </w:pPr>
            <w:r>
              <w:rPr/>
              <w:t xml:space="preserve">Other </w:t>
            </w:r>
          </w:p>
        </w:tc>
        <w:tc>
          <w:tcPr>
            <w:tcW w:w="1191" w:type="dxa"/>
            <w:tcBorders/>
            <w:shd w:fill="E7E7E2" w:val="clear"/>
            <w:vAlign w:val="center"/>
          </w:tcPr>
          <w:p>
            <w:pPr>
              <w:pStyle w:val="TableContents"/>
              <w:bidi w:val="0"/>
              <w:spacing w:before="0" w:after="283"/>
              <w:jc w:val="right"/>
              <w:rPr/>
            </w:pPr>
            <w:r>
              <w:rPr/>
              <w:t xml:space="preserve">10,000,000 </w:t>
            </w:r>
          </w:p>
        </w:tc>
        <w:tc>
          <w:tcPr>
            <w:tcW w:w="1174" w:type="dxa"/>
            <w:tcBorders/>
            <w:shd w:fill="E7E7E2" w:val="clear"/>
            <w:vAlign w:val="center"/>
          </w:tcPr>
          <w:p>
            <w:pPr>
              <w:pStyle w:val="TableContents"/>
              <w:bidi w:val="0"/>
              <w:spacing w:before="0" w:after="283"/>
              <w:jc w:val="right"/>
              <w:rPr/>
            </w:pPr>
            <w:r>
              <w:rPr/>
              <w:t xml:space="preserve">$ 17.96 </w:t>
            </w:r>
          </w:p>
        </w:tc>
        <w:tc>
          <w:tcPr>
            <w:tcW w:w="1796" w:type="dxa"/>
            <w:tcBorders/>
            <w:shd w:fill="E7E7E2" w:val="clear"/>
            <w:vAlign w:val="center"/>
          </w:tcPr>
          <w:p>
            <w:pPr>
              <w:pStyle w:val="TableContents"/>
              <w:bidi w:val="0"/>
              <w:spacing w:before="0" w:after="283"/>
              <w:jc w:val="right"/>
              <w:rPr/>
            </w:pPr>
            <w:r>
              <w:rPr/>
              <w:t xml:space="preserve">$ 179,600,000.00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408" w:type="dxa"/>
            <w:tcBorders/>
            <w:shd w:fill="E7E7E2" w:val="clear"/>
            <w:vAlign w:val="center"/>
          </w:tcPr>
          <w:p>
            <w:pPr>
              <w:pStyle w:val="TableContents"/>
              <w:bidi w:val="0"/>
              <w:spacing w:before="0" w:after="283"/>
              <w:jc w:val="right"/>
              <w:rPr/>
            </w:pPr>
            <w:r>
              <w:rPr/>
              <w:t xml:space="preserve">$ 24,802.76 </w:t>
            </w:r>
          </w:p>
        </w:tc>
      </w:tr>
      <w:tr>
        <w:trPr/>
        <w:tc>
          <w:tcPr>
            <w:tcW w:w="4701" w:type="dxa"/>
            <w:gridSpan w:val="5"/>
            <w:tcBorders/>
            <w:vAlign w:val="center"/>
          </w:tcPr>
          <w:p>
            <w:pPr>
              <w:pStyle w:val="TableContents"/>
              <w:bidi w:val="0"/>
              <w:spacing w:before="0" w:after="0"/>
              <w:ind w:left="0" w:right="0" w:hanging="0"/>
              <w:jc w:val="right"/>
              <w:rPr/>
            </w:pPr>
            <w:r>
              <w:rPr/>
              <w:t>Total Offering Amounts:</w:t>
            </w:r>
          </w:p>
        </w:tc>
        <w:tc>
          <w:tcPr>
            <w:tcW w:w="1174"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0"/>
              <w:ind w:left="0" w:right="0" w:hanging="0"/>
              <w:jc w:val="right"/>
              <w:rPr/>
            </w:pPr>
            <w:bookmarkStart w:id="13" w:name="MaxAggtOfferingPrice"/>
            <w:bookmarkEnd w:id="13"/>
            <w:r>
              <w:rPr/>
              <w:t xml:space="preserve">$ 179,600,000.00 </w:t>
            </w:r>
          </w:p>
        </w:tc>
        <w:tc>
          <w:tcPr>
            <w:tcW w:w="1126" w:type="dxa"/>
            <w:tcBorders/>
            <w:vAlign w:val="center"/>
          </w:tcPr>
          <w:p>
            <w:pPr>
              <w:pStyle w:val="TableContents"/>
              <w:bidi w:val="0"/>
              <w:spacing w:before="0" w:after="283"/>
              <w:jc w:val="left"/>
              <w:rPr>
                <w:sz w:val="4"/>
                <w:szCs w:val="4"/>
              </w:rPr>
            </w:pPr>
            <w:r>
              <w:rPr>
                <w:sz w:val="4"/>
                <w:szCs w:val="4"/>
              </w:rPr>
            </w:r>
          </w:p>
        </w:tc>
        <w:tc>
          <w:tcPr>
            <w:tcW w:w="1408"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4" w:name="TotalFeeAmt"/>
            <w:bookmarkEnd w:id="14"/>
            <w:r>
              <w:rPr/>
              <w:t xml:space="preserve">$ 24,802.76 </w:t>
            </w:r>
          </w:p>
        </w:tc>
      </w:tr>
      <w:tr>
        <w:trPr/>
        <w:tc>
          <w:tcPr>
            <w:tcW w:w="4701" w:type="dxa"/>
            <w:gridSpan w:val="5"/>
            <w:tcBorders/>
            <w:vAlign w:val="center"/>
          </w:tcPr>
          <w:p>
            <w:pPr>
              <w:pStyle w:val="TableContents"/>
              <w:bidi w:val="0"/>
              <w:spacing w:before="0" w:after="0"/>
              <w:ind w:left="0" w:right="0" w:hanging="0"/>
              <w:jc w:val="right"/>
              <w:rPr/>
            </w:pPr>
            <w:r>
              <w:rPr/>
              <w:t xml:space="preserve">Total Fee Offsets: </w:t>
            </w:r>
          </w:p>
        </w:tc>
        <w:tc>
          <w:tcPr>
            <w:tcW w:w="1174"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0"/>
              <w:ind w:left="0" w:right="0" w:hanging="0"/>
              <w:jc w:val="right"/>
              <w:rPr/>
            </w:pPr>
            <w:bookmarkStart w:id="15" w:name="TotalOffsetAmt"/>
            <w:bookmarkEnd w:id="15"/>
            <w:r>
              <w:rPr/>
              <w:t xml:space="preserve">$ 0.00 </w:t>
            </w:r>
          </w:p>
        </w:tc>
      </w:tr>
      <w:tr>
        <w:trPr/>
        <w:tc>
          <w:tcPr>
            <w:tcW w:w="4701" w:type="dxa"/>
            <w:gridSpan w:val="5"/>
            <w:tcBorders/>
            <w:vAlign w:val="center"/>
          </w:tcPr>
          <w:p>
            <w:pPr>
              <w:pStyle w:val="TableContents"/>
              <w:bidi w:val="0"/>
              <w:spacing w:before="0" w:after="0"/>
              <w:ind w:left="0" w:right="0" w:hanging="0"/>
              <w:jc w:val="right"/>
              <w:rPr/>
            </w:pPr>
            <w:r>
              <w:rPr/>
              <w:t xml:space="preserve">Net Fee Due: </w:t>
            </w:r>
          </w:p>
        </w:tc>
        <w:tc>
          <w:tcPr>
            <w:tcW w:w="1174"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0"/>
              <w:ind w:left="0" w:right="0" w:hanging="0"/>
              <w:jc w:val="right"/>
              <w:rPr/>
            </w:pPr>
            <w:bookmarkStart w:id="16" w:name="NetFeeAmt"/>
            <w:bookmarkEnd w:id="16"/>
            <w:r>
              <w:rPr/>
              <w:t xml:space="preserve">$ 24,802.76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9"/>
        <w:gridCol w:w="1299"/>
        <w:gridCol w:w="8707"/>
      </w:tblGrid>
      <w:tr>
        <w:trPr/>
        <w:tc>
          <w:tcPr>
            <w:tcW w:w="19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6" w:type="dxa"/>
            <w:gridSpan w:val="2"/>
            <w:tcBorders/>
            <w:vAlign w:val="center"/>
          </w:tcPr>
          <w:p>
            <w:pPr>
              <w:pStyle w:val="TableContents"/>
              <w:bidi w:val="0"/>
              <w:spacing w:before="0" w:after="283"/>
              <w:jc w:val="left"/>
              <w:rPr/>
            </w:pPr>
            <w:r>
              <w:rPr/>
              <w:t xml:space="preserve">(A) Pursuant to Rule 416(a) under the Securities Act of 1933, as amended (the "Securities Act"), this registration statement ("Registration Statement") shall also cover any additional shares of the Registrant's Class A common stock, $0.0001 par value per share (the "Class A Common Stock"), which become issuable under the Suja Life, Inc. 2026 Omnibus Incentive Plan ("Incentive Plan") by reason of any stock dividend, stock split, recapitalization or other similar transaction effected without receipt of consideration which results in an increase in the number of outstanding shares of Class A Common Stock, as applicable. (B) Includes additional shares of Class A Common Stock reserved for future issuance pursuant to the annual "evergreen increase" and for delivery with respect to awards issued under the Incentive Plan, which include shares of Class A Common Stock that may again become available for delivery with respect to awards under the Incentive Plan pursuant to the share counting, share recycling and other terms and conditions of the Incentive Plan. (C) Estimated in accordance with Rule 457(c) and (h) under the Securities Act solely for the purpose of calculating the registration fee. The price of $17.96 per share represents the average of the high and low sales prices of the Registrant's Class A Common Stock on the Nasdaq Stock Market LLC on May 7, 2026, which date is within five business days prior to the filing of this Registration Statement.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34114/000110465926057504/tm2530822-13_424b4.htm" TargetMode="External"/><Relationship Id="rId3" Type="http://schemas.openxmlformats.org/officeDocument/2006/relationships/hyperlink" Target="https://www.sec.gov/Archives/edgar/data/1934114/000110465926057915/tm2530822d27_8k.htm" TargetMode="External"/><Relationship Id="rId4" Type="http://schemas.openxmlformats.org/officeDocument/2006/relationships/hyperlink" Target="https://www.sec.gov/Archives/edgar/data/1934114/000110465926056570/tm2530822d16_8a12b.htm" TargetMode="External"/><Relationship Id="rId5" Type="http://schemas.openxmlformats.org/officeDocument/2006/relationships/hyperlink" Target="https://www.sec.gov/Archives/edgar/data/1934114/000110465926057915/tm2530822d27_ex3-1.htm" TargetMode="External"/><Relationship Id="rId6" Type="http://schemas.openxmlformats.org/officeDocument/2006/relationships/hyperlink" Target="https://www.sec.gov/Archives/edgar/data/1934114/000110465926057915/tm2530822d27_ex3-1.htm" TargetMode="External"/><Relationship Id="rId7" Type="http://schemas.openxmlformats.org/officeDocument/2006/relationships/hyperlink" Target="https://www.sec.gov/Archives/edgar/data/1934114/000110465926057915/tm2530822d27_ex3-2.htm" TargetMode="External"/><Relationship Id="rId8" Type="http://schemas.openxmlformats.org/officeDocument/2006/relationships/hyperlink" Target="https://www.sec.gov/Archives/edgar/data/1934114/000110465926057915/tm2530822d27_ex3-2.htm" TargetMode="External"/><Relationship Id="rId9" Type="http://schemas.openxmlformats.org/officeDocument/2006/relationships/hyperlink" Target="https://www.sec.gov/Archives/edgar/data/1934114/000110465926057915/tm2530822d27_ex10-7.htm" TargetMode="External"/><Relationship Id="rId10" Type="http://schemas.openxmlformats.org/officeDocument/2006/relationships/hyperlink" Target="https://www.sec.gov/Archives/edgar/data/1934114/000110465926057915/tm2530822d27_ex10-7.htm" TargetMode="External"/><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4185</Words>
  <Characters>22070</Characters>
  <CharactersWithSpaces>26333</CharactersWithSpaces>
  <Paragraphs>501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