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1,922,385.00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1,922,385.00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California, 92056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- 1,922,385 CastleKnight Fund GP LLC - 1,922,385 CastleKnight Management LP - 1,922,385 CastleKnight Management GP LLC - 1,922,385 Weitman Capital LLC - 1,922,385 Aaron Weitman - 1,922,385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- 8.1% CastleKnight Fund GP LLC - 8.1% CastleKnight Management LP - 8.1% CastleKnight Management GP LLC - 8.1% Weitman Capital LLC - 8.1% Aaron Weitman - 8.1%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- 1,922,385 CastleKnight Fund GP LLC - 1,922,385 CastleKnight Management LP - 1,922,385 CastleKnight Management GP LLC - 1,922,385 Weitman Capital LLC - 1,922,385 Aaron Weitman - 1,922,385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- 1,922,385 CastleKnight Fund GP LLC - 1,922,385 CastleKnight Management LP - 1,922,385 CastleKnight Management GP LLC - 1,922,385 Weitman Capital LLC - 1,922,385 Aaron Weitman - 1,922,385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CastleKnight Fund GP LLC, its general partner, By: Weitman Capital LLC, its managing member, By: /s/ Aaron Weitman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Aaron Weitman,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CastleKnight Management GP LLC, its general partner, By: Weitman Capital LLC, its managing member, By: /s/ Aaron Weitman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Aaron Weitman,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By: /s/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 Aaron Weitman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6" w:name="p15058585_exh-a.htm"/>
      <w:bookmarkStart w:id="37" w:name="ksp15058585_exha"/>
      <w:bookmarkEnd w:id="36"/>
      <w:bookmarkEnd w:id="37"/>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August 28, 2026, relating to the Class A common stock, par value $0.0001 per share, of Suja Life,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spacing w:before="0" w:after="240"/>
        <w:jc w:val="right"/>
        <w:rPr>
          <w:caps w:val="false"/>
          <w:smallCaps w:val="false"/>
        </w:rPr>
      </w:pPr>
      <w:bookmarkStart w:id="38" w:name="p15058585_exh-b.htm"/>
      <w:bookmarkStart w:id="39" w:name="ksp15058585_exhb"/>
      <w:bookmarkEnd w:id="38"/>
      <w:bookmarkEnd w:id="39"/>
      <w:r>
        <w:rPr>
          <w:caps w:val="false"/>
          <w:smallCaps w:val="false"/>
        </w:rPr>
        <w:t> </w:t>
      </w:r>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2066</Words>
  <Characters>10836</Characters>
  <CharactersWithSpaces>12800</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