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Kevin Schwartz</w:t>
              <w:br/>
              <w:t>c/o Paine Schwartz Partners, 610 Broadway, 3rd Floor</w:t>
              <w:br/>
              <w:t>New York, NY, 10012</w:t>
              <w:br/>
              <w:t>(212) 379-7200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Paine Schwartz Food Chain Fund V GP,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26,757,565.00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26,757,565.00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26,757,565.00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(i) 11,921,253 shares of Class A common stock, par value $0.0001 per share (the "Class A Common Stock") of the Issuer and (ii) 14,836,312 shares of Class A Common Stock issuable upon the exchange of 14,836,312 Class A common units (the "LP Units") of Suja Life Holdings, L.P. ("Holdings LP"), together with an equal number of shares of Class V common stock, par value $0.0001 per share (the "Class V Common Stock") of the Issuer. The percent of class is calculated based on (i) 23,788,700 shares of Class A Common Stock outstanding as of July 31, 2026, as reported on the Issuer's Form 10-Q filed on August 4, 2026, plus (ii) 14,836,312 shares of Class A Common Stock issuable upon the exchange of 14,836,312 LP Units together with an equal number of shares of Class V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CALIFORNIA , 92056.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("Amendment No. 3") amends and supplements the statement on Schedule 13D filed with the Securities and Exchange Commission on August 18, 2026 (the "Original Schedule 13D" and, together with Amendment No. 1 to the Original Schedule 13D filed with the Securities and Exchange Commission on August 25, 2026 ("Amendment No. 1"), Amendment No. 2 to the Original Schedule 13D filed with the Securities and Exchange Commission on August 31, 2026 ("Amendment No. 2"), and this Amendment No. 3, the "Schedule 13D"). Capitalized terms used herein and not otherwise defined in this Amendment No. 3 have the meanings set forth in the Original Schedule 13D.</w:t>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3 of the Original Schedule 13D is hereby amended and supplemented as follows: Open Market Purchases From September 1, 2026 through September 8, 2026, PSP Suja Life Aggregator, L.P. ("Suja Life Aggregator") purchased an aggregate of 650,000 shares of Class A Common Stock in open market transactions, for which it paid an aggregate of $6,769,312.50, including brokerage commissions (the "Open Market Purchases"). The Open Market Purchases are set forth in detail in Schedule I of this Amendment No. 3 and are incorporated herein by reference effected during this period. Source of Funds Suja Life Aggregator used available investment funds in its possession to fund the Open Market Purchases of the shares of Class A Common Stock described above.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Items 5(a), (b) and (c) of the Original Schedule 13D are hereby amended The Reporting Person beneficially owns an aggregate of 26,757,565 shares of Class A Common Stock, representing 69.3% of the Class A Common Stock outstanding based on (i) 23,788,700 shares of Class A Common Stock outstanding as of July 31, 2026, as reported on the Issuer's Form 10-Q filed on August 4, 2026, plus (ii) 14,836,312 shares of Class A Common Stock issuable upon the exchange of 14,836,312 LP Units together with an equal number of shares of Class V Common Stock. The securities reported herein consist of shares of Class A Common Stock held directly by PSFC Fund V B, PSFC Fund V C, PSFC Fund V D, Consortium Aggregator, and Suja Life Aggregator. Paine Schwartz Food Chain Fund V, L.P. ("PSFC Fund V") is one of the members of Consortium Aggregator. The sole general partner of PSFC Fund V, PSFC Fund V B, PSFC Fund V C, PSFC Fund V D, and Suja Life Aggregator is Paine Schwartz Food Chain Fund V GP L.P. ("PSFC Fund V GP"). The general partner of PSFC Fund V GP is Paine Schwartz Food Chain Fund V GP, Ltd., which is managed by a board of directors that includes W. Dexter Paine, III, Angelos Dassios, and Kevin Schwartz. Mr. Schwartz serves on the Issuer's board of directors and may be deemed to exercise investment control over the reported securities. Pursuant to Rule 13d-4 of the Act, the Reporting Person declares that filing this Statement shall not be deemed an admission that the Reporting Person, or any of the foregoing,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responses of the Reporting Person set forth in rows (7) through (10) of the cover page of this Schedule 13D and the information set forth in Item 5(a) hereof are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The Open Market Purchases of the Class A Common Stock by Suja Life Aggregator from September 1, 2026 through September 8, 2026 are set forth in Schedule I of this Amendment No. 3 and are incorporated herein by reference. Additional open market purchases effected during the past sixty days were previously reported in the Original Schedule 13D, Amendment No. 1, and Amendment No. 2.</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Paine Schwartz Food Chain Fund V GP, Ltd.</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Renata Lombardi Malavazzi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Renata Lombardi Malavazzi, as Attorney-in- 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14" w:name="ef20081642_ex99-1.htm"/>
      <w:bookmarkStart w:id="15" w:name="ksef20081642_ex991"/>
      <w:bookmarkStart w:id="16" w:name="ef20081642_ex99-1.htm"/>
      <w:bookmarkStart w:id="17" w:name="ksef20081642_ex991"/>
      <w:bookmarkEnd w:id="16"/>
      <w:bookmarkEnd w:id="17"/>
      <w:r>
        <w:br w:type="page"/>
      </w:r>
    </w:p>
    <w:p>
      <w:pPr>
        <w:pStyle w:val="TextBody"/>
        <w:bidi w:val="0"/>
        <w:spacing w:before="0" w:after="0"/>
        <w:jc w:val="right"/>
        <w:rPr>
          <w:sz w:val="20"/>
        </w:rPr>
      </w:pPr>
      <w:r>
        <w:rPr>
          <w:sz w:val="20"/>
        </w:rPr>
        <w:t>Schedule I</w:t>
      </w:r>
    </w:p>
    <w:p>
      <w:pPr>
        <w:pStyle w:val="TextBody"/>
        <w:bidi w:val="0"/>
        <w:spacing w:before="0" w:after="0"/>
        <w:jc w:val="right"/>
        <w:rPr/>
      </w:pPr>
      <w:r>
        <w:rPr/>
        <w:t> </w:t>
      </w:r>
    </w:p>
    <w:p>
      <w:pPr>
        <w:pStyle w:val="TextBody"/>
        <w:bidi w:val="0"/>
        <w:spacing w:before="0" w:after="0"/>
        <w:jc w:val="center"/>
        <w:rPr>
          <w:b/>
          <w:sz w:val="20"/>
          <w:u w:val="single"/>
        </w:rPr>
      </w:pPr>
      <w:r>
        <w:rPr>
          <w:b/>
          <w:sz w:val="20"/>
          <w:u w:val="single"/>
        </w:rPr>
        <w:t>Transactions in Securities of the Issuer</w:t>
      </w:r>
    </w:p>
    <w:p>
      <w:pPr>
        <w:pStyle w:val="TextBody"/>
        <w:bidi w:val="0"/>
        <w:spacing w:before="0" w:after="0"/>
        <w:jc w:val="center"/>
        <w:rPr/>
      </w:pPr>
      <w:r>
        <w:rPr/>
        <w:t> </w:t>
      </w:r>
    </w:p>
    <w:tbl>
      <w:tblPr>
        <w:tblW w:w="4250" w:type="pct"/>
        <w:jc w:val="left"/>
        <w:tblInd w:w="0" w:type="dxa"/>
        <w:tblLayout w:type="fixed"/>
        <w:tblCellMar>
          <w:top w:w="0" w:type="dxa"/>
          <w:left w:w="0" w:type="dxa"/>
          <w:bottom w:w="0" w:type="dxa"/>
          <w:right w:w="0" w:type="dxa"/>
        </w:tblCellMar>
      </w:tblPr>
      <w:tblGrid>
        <w:gridCol w:w="1716"/>
        <w:gridCol w:w="90"/>
        <w:gridCol w:w="1424"/>
        <w:gridCol w:w="90"/>
        <w:gridCol w:w="1239"/>
        <w:gridCol w:w="90"/>
        <w:gridCol w:w="1269"/>
        <w:gridCol w:w="90"/>
        <w:gridCol w:w="1532"/>
        <w:gridCol w:w="89"/>
        <w:gridCol w:w="1045"/>
      </w:tblGrid>
      <w:tr>
        <w:trPr/>
        <w:tc>
          <w:tcPr>
            <w:tcW w:w="17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r>
      <w:tr>
        <w:trPr/>
        <w:tc>
          <w:tcPr>
            <w:tcW w:w="1716" w:type="dxa"/>
            <w:tcBorders>
              <w:bottom w:val="single" w:sz="12" w:space="0" w:color="000000"/>
            </w:tcBorders>
            <w:tcMar>
              <w:bottom w:w="28" w:type="dxa"/>
            </w:tcMar>
          </w:tcPr>
          <w:p>
            <w:pPr>
              <w:pStyle w:val="TableContents"/>
              <w:bidi w:val="0"/>
              <w:spacing w:before="0" w:after="0"/>
              <w:ind w:left="0" w:right="0" w:hanging="0"/>
              <w:jc w:val="center"/>
              <w:rPr>
                <w:b/>
              </w:rPr>
            </w:pPr>
            <w:r>
              <w:rPr>
                <w:b/>
              </w:rPr>
              <w:t>Name of Affiliated Entity</w:t>
            </w:r>
          </w:p>
        </w:tc>
        <w:tc>
          <w:tcPr>
            <w:tcW w:w="90" w:type="dxa"/>
            <w:tcBorders/>
          </w:tcPr>
          <w:p>
            <w:pPr>
              <w:pStyle w:val="TableContents"/>
              <w:bidi w:val="0"/>
              <w:spacing w:before="0" w:after="283"/>
              <w:jc w:val="center"/>
              <w:rPr/>
            </w:pPr>
            <w:r>
              <w:rPr/>
              <w:t> </w:t>
            </w:r>
          </w:p>
        </w:tc>
        <w:tc>
          <w:tcPr>
            <w:tcW w:w="1424" w:type="dxa"/>
            <w:tcBorders>
              <w:bottom w:val="single" w:sz="12" w:space="0" w:color="000000"/>
            </w:tcBorders>
            <w:tcMar>
              <w:bottom w:w="28" w:type="dxa"/>
            </w:tcMar>
          </w:tcPr>
          <w:p>
            <w:pPr>
              <w:pStyle w:val="TableContents"/>
              <w:bidi w:val="0"/>
              <w:spacing w:before="0" w:after="0"/>
              <w:ind w:left="0" w:right="0" w:hanging="0"/>
              <w:jc w:val="center"/>
              <w:rPr>
                <w:b/>
              </w:rPr>
            </w:pPr>
            <w:r>
              <w:rPr>
                <w:b/>
              </w:rPr>
              <w:t>Transaction Date</w:t>
            </w:r>
          </w:p>
        </w:tc>
        <w:tc>
          <w:tcPr>
            <w:tcW w:w="90" w:type="dxa"/>
            <w:tcBorders/>
          </w:tcPr>
          <w:p>
            <w:pPr>
              <w:pStyle w:val="TableContents"/>
              <w:bidi w:val="0"/>
              <w:spacing w:before="0" w:after="283"/>
              <w:jc w:val="center"/>
              <w:rPr/>
            </w:pPr>
            <w:r>
              <w:rPr/>
              <w:t> </w:t>
            </w:r>
          </w:p>
        </w:tc>
        <w:tc>
          <w:tcPr>
            <w:tcW w:w="1239" w:type="dxa"/>
            <w:tcBorders>
              <w:bottom w:val="single" w:sz="12" w:space="0" w:color="000000"/>
            </w:tcBorders>
            <w:tcMar>
              <w:bottom w:w="28" w:type="dxa"/>
            </w:tcMar>
          </w:tcPr>
          <w:p>
            <w:pPr>
              <w:pStyle w:val="TableContents"/>
              <w:bidi w:val="0"/>
              <w:spacing w:before="0" w:after="0"/>
              <w:ind w:left="0" w:right="0" w:hanging="0"/>
              <w:jc w:val="center"/>
              <w:rPr>
                <w:b/>
              </w:rPr>
            </w:pPr>
            <w:r>
              <w:rPr>
                <w:b/>
              </w:rPr>
              <w:t>Number of Shares</w:t>
              <w:br/>
              <w:t>of</w:t>
              <w:br/>
              <w:t>Class A Common</w:t>
              <w:br/>
              <w:t>Stock</w:t>
            </w:r>
          </w:p>
        </w:tc>
        <w:tc>
          <w:tcPr>
            <w:tcW w:w="90" w:type="dxa"/>
            <w:tcBorders/>
          </w:tcPr>
          <w:p>
            <w:pPr>
              <w:pStyle w:val="TableContents"/>
              <w:bidi w:val="0"/>
              <w:spacing w:before="0" w:after="283"/>
              <w:jc w:val="center"/>
              <w:rPr/>
            </w:pPr>
            <w:r>
              <w:rPr/>
              <w:t> </w:t>
            </w:r>
          </w:p>
        </w:tc>
        <w:tc>
          <w:tcPr>
            <w:tcW w:w="1269" w:type="dxa"/>
            <w:tcBorders>
              <w:bottom w:val="single" w:sz="12" w:space="0" w:color="000000"/>
            </w:tcBorders>
            <w:tcMar>
              <w:bottom w:w="28" w:type="dxa"/>
            </w:tcMar>
          </w:tcPr>
          <w:p>
            <w:pPr>
              <w:pStyle w:val="TableContents"/>
              <w:bidi w:val="0"/>
              <w:spacing w:before="0" w:after="0"/>
              <w:ind w:left="0" w:right="0" w:hanging="0"/>
              <w:jc w:val="center"/>
              <w:rPr>
                <w:b/>
              </w:rPr>
            </w:pPr>
            <w:r>
              <w:rPr>
                <w:b/>
              </w:rPr>
              <w:t>Weighted Average</w:t>
              <w:br/>
              <w:t>Price Per Share</w:t>
              <w:br/>
              <w:t>($)</w:t>
            </w:r>
          </w:p>
        </w:tc>
        <w:tc>
          <w:tcPr>
            <w:tcW w:w="90" w:type="dxa"/>
            <w:tcBorders/>
          </w:tcPr>
          <w:p>
            <w:pPr>
              <w:pStyle w:val="TableContents"/>
              <w:bidi w:val="0"/>
              <w:spacing w:before="0" w:after="283"/>
              <w:jc w:val="center"/>
              <w:rPr/>
            </w:pPr>
            <w:r>
              <w:rPr/>
              <w:t> </w:t>
            </w:r>
          </w:p>
        </w:tc>
        <w:tc>
          <w:tcPr>
            <w:tcW w:w="1532" w:type="dxa"/>
            <w:tcBorders>
              <w:bottom w:val="single" w:sz="12" w:space="0" w:color="000000"/>
            </w:tcBorders>
            <w:tcMar>
              <w:bottom w:w="28" w:type="dxa"/>
            </w:tcMar>
          </w:tcPr>
          <w:p>
            <w:pPr>
              <w:pStyle w:val="TableContents"/>
              <w:bidi w:val="0"/>
              <w:spacing w:before="0" w:after="0"/>
              <w:ind w:left="0" w:right="0" w:hanging="0"/>
              <w:jc w:val="center"/>
              <w:rPr>
                <w:b/>
              </w:rPr>
            </w:pPr>
            <w:r>
              <w:rPr>
                <w:b/>
              </w:rPr>
              <w:t>Transaction Type</w:t>
            </w:r>
          </w:p>
        </w:tc>
        <w:tc>
          <w:tcPr>
            <w:tcW w:w="89" w:type="dxa"/>
            <w:tcBorders/>
          </w:tcPr>
          <w:p>
            <w:pPr>
              <w:pStyle w:val="TableContents"/>
              <w:bidi w:val="0"/>
              <w:spacing w:before="0" w:after="283"/>
              <w:jc w:val="center"/>
              <w:rPr/>
            </w:pPr>
            <w:r>
              <w:rPr/>
              <w:t> </w:t>
            </w:r>
          </w:p>
        </w:tc>
        <w:tc>
          <w:tcPr>
            <w:tcW w:w="1045" w:type="dxa"/>
            <w:tcBorders>
              <w:bottom w:val="single" w:sz="12" w:space="0" w:color="000000"/>
            </w:tcBorders>
            <w:tcMar>
              <w:bottom w:w="28" w:type="dxa"/>
            </w:tcMar>
          </w:tcPr>
          <w:p>
            <w:pPr>
              <w:pStyle w:val="TableContents"/>
              <w:bidi w:val="0"/>
              <w:spacing w:before="0" w:after="0"/>
              <w:ind w:left="0" w:right="0" w:hanging="0"/>
              <w:jc w:val="center"/>
              <w:rPr>
                <w:b/>
              </w:rPr>
            </w:pPr>
            <w:r>
              <w:rPr>
                <w:b/>
              </w:rPr>
              <w:t>Price Range (Per</w:t>
              <w:br/>
              <w:t>Share)</w:t>
            </w:r>
          </w:p>
        </w:tc>
      </w:tr>
      <w:tr>
        <w:trPr/>
        <w:tc>
          <w:tcPr>
            <w:tcW w:w="1716" w:type="dxa"/>
            <w:tcBorders/>
            <w:shd w:fill="CCEEFF" w:val="clear"/>
          </w:tcPr>
          <w:p>
            <w:pPr>
              <w:pStyle w:val="TableContents"/>
              <w:bidi w:val="0"/>
              <w:spacing w:before="0" w:after="0"/>
              <w:ind w:left="0" w:right="0" w:hanging="0"/>
              <w:jc w:val="center"/>
              <w:rPr/>
            </w:pPr>
            <w:r>
              <w:rPr/>
              <w:t xml:space="preserve">PSP Suja Life Aggregator, L.P. </w:t>
            </w:r>
          </w:p>
        </w:tc>
        <w:tc>
          <w:tcPr>
            <w:tcW w:w="90" w:type="dxa"/>
            <w:tcBorders/>
            <w:shd w:fill="CCEEFF" w:val="clear"/>
          </w:tcPr>
          <w:p>
            <w:pPr>
              <w:pStyle w:val="TableContents"/>
              <w:bidi w:val="0"/>
              <w:spacing w:before="0" w:after="283"/>
              <w:jc w:val="left"/>
              <w:rPr/>
            </w:pPr>
            <w:r>
              <w:rPr/>
              <w:t> </w:t>
            </w:r>
          </w:p>
        </w:tc>
        <w:tc>
          <w:tcPr>
            <w:tcW w:w="1424" w:type="dxa"/>
            <w:tcBorders/>
            <w:shd w:fill="CCEEFF" w:val="clear"/>
          </w:tcPr>
          <w:p>
            <w:pPr>
              <w:pStyle w:val="TableContents"/>
              <w:bidi w:val="0"/>
              <w:spacing w:before="0" w:after="0"/>
              <w:ind w:left="0" w:right="0" w:hanging="0"/>
              <w:jc w:val="center"/>
              <w:rPr/>
            </w:pPr>
            <w:r>
              <w:rPr/>
              <w:t>9/1/2026</w:t>
            </w:r>
          </w:p>
        </w:tc>
        <w:tc>
          <w:tcPr>
            <w:tcW w:w="90" w:type="dxa"/>
            <w:tcBorders/>
            <w:shd w:fill="CCEEFF" w:val="clear"/>
          </w:tcPr>
          <w:p>
            <w:pPr>
              <w:pStyle w:val="TableContents"/>
              <w:bidi w:val="0"/>
              <w:spacing w:before="0" w:after="283"/>
              <w:jc w:val="center"/>
              <w:rPr/>
            </w:pPr>
            <w:r>
              <w:rPr/>
              <w:t> </w:t>
            </w:r>
          </w:p>
        </w:tc>
        <w:tc>
          <w:tcPr>
            <w:tcW w:w="1239" w:type="dxa"/>
            <w:tcBorders/>
            <w:shd w:fill="CCEEFF" w:val="clear"/>
          </w:tcPr>
          <w:p>
            <w:pPr>
              <w:pStyle w:val="TableContents"/>
              <w:bidi w:val="0"/>
              <w:spacing w:before="0" w:after="0"/>
              <w:ind w:left="0" w:right="0" w:hanging="0"/>
              <w:jc w:val="center"/>
              <w:rPr/>
            </w:pPr>
            <w:r>
              <w:rPr/>
              <w:t>175,000</w:t>
            </w:r>
          </w:p>
        </w:tc>
        <w:tc>
          <w:tcPr>
            <w:tcW w:w="90" w:type="dxa"/>
            <w:tcBorders/>
            <w:shd w:fill="CCEEFF" w:val="clear"/>
          </w:tcPr>
          <w:p>
            <w:pPr>
              <w:pStyle w:val="TableContents"/>
              <w:bidi w:val="0"/>
              <w:spacing w:before="0" w:after="283"/>
              <w:jc w:val="center"/>
              <w:rPr/>
            </w:pPr>
            <w:r>
              <w:rPr/>
              <w:t> </w:t>
            </w:r>
          </w:p>
        </w:tc>
        <w:tc>
          <w:tcPr>
            <w:tcW w:w="1269" w:type="dxa"/>
            <w:tcBorders/>
            <w:shd w:fill="CCEEFF" w:val="clear"/>
          </w:tcPr>
          <w:p>
            <w:pPr>
              <w:pStyle w:val="TableContents"/>
              <w:bidi w:val="0"/>
              <w:spacing w:before="0" w:after="0"/>
              <w:ind w:left="0" w:right="0" w:hanging="0"/>
              <w:jc w:val="center"/>
              <w:rPr/>
            </w:pPr>
            <w:r>
              <w:rPr/>
              <w:t>$10.44</w:t>
            </w:r>
          </w:p>
        </w:tc>
        <w:tc>
          <w:tcPr>
            <w:tcW w:w="90" w:type="dxa"/>
            <w:tcBorders/>
            <w:shd w:fill="CCEEFF" w:val="clear"/>
          </w:tcPr>
          <w:p>
            <w:pPr>
              <w:pStyle w:val="TableContents"/>
              <w:bidi w:val="0"/>
              <w:spacing w:before="0" w:after="283"/>
              <w:jc w:val="center"/>
              <w:rPr/>
            </w:pPr>
            <w:r>
              <w:rPr/>
              <w:t> </w:t>
            </w:r>
          </w:p>
        </w:tc>
        <w:tc>
          <w:tcPr>
            <w:tcW w:w="1532" w:type="dxa"/>
            <w:tcBorders/>
            <w:shd w:fill="CCEEFF" w:val="clear"/>
          </w:tcPr>
          <w:p>
            <w:pPr>
              <w:pStyle w:val="TableContents"/>
              <w:bidi w:val="0"/>
              <w:spacing w:before="0" w:after="0"/>
              <w:ind w:left="0" w:right="0" w:hanging="0"/>
              <w:jc w:val="center"/>
              <w:rPr/>
            </w:pPr>
            <w:r>
              <w:rPr/>
              <w:t>Open Market Purchase</w:t>
            </w:r>
          </w:p>
        </w:tc>
        <w:tc>
          <w:tcPr>
            <w:tcW w:w="89" w:type="dxa"/>
            <w:tcBorders/>
            <w:shd w:fill="CCEEFF" w:val="clear"/>
          </w:tcPr>
          <w:p>
            <w:pPr>
              <w:pStyle w:val="TableContents"/>
              <w:bidi w:val="0"/>
              <w:spacing w:before="0" w:after="283"/>
              <w:jc w:val="center"/>
              <w:rPr/>
            </w:pPr>
            <w:r>
              <w:rPr/>
              <w:t> </w:t>
            </w:r>
          </w:p>
        </w:tc>
        <w:tc>
          <w:tcPr>
            <w:tcW w:w="1045" w:type="dxa"/>
            <w:tcBorders/>
            <w:shd w:fill="CCEEFF" w:val="clear"/>
          </w:tcPr>
          <w:p>
            <w:pPr>
              <w:pStyle w:val="TableContents"/>
              <w:bidi w:val="0"/>
              <w:spacing w:before="0" w:after="0"/>
              <w:ind w:left="0" w:right="0" w:hanging="0"/>
              <w:jc w:val="center"/>
              <w:rPr/>
            </w:pPr>
            <w:r>
              <w:rPr/>
              <w:t>$9.97 to $10.62</w:t>
            </w:r>
          </w:p>
        </w:tc>
      </w:tr>
      <w:tr>
        <w:trPr/>
        <w:tc>
          <w:tcPr>
            <w:tcW w:w="1716" w:type="dxa"/>
            <w:tcBorders/>
          </w:tcPr>
          <w:p>
            <w:pPr>
              <w:pStyle w:val="TableContents"/>
              <w:bidi w:val="0"/>
              <w:spacing w:before="0" w:after="0"/>
              <w:ind w:left="0" w:right="0" w:hanging="0"/>
              <w:jc w:val="center"/>
              <w:rPr/>
            </w:pPr>
            <w:r>
              <w:rPr/>
              <w:t xml:space="preserve">PSP Suja Life Aggregator, L.P. </w:t>
            </w:r>
          </w:p>
        </w:tc>
        <w:tc>
          <w:tcPr>
            <w:tcW w:w="90" w:type="dxa"/>
            <w:tcBorders/>
          </w:tcPr>
          <w:p>
            <w:pPr>
              <w:pStyle w:val="TableContents"/>
              <w:bidi w:val="0"/>
              <w:spacing w:before="0" w:after="283"/>
              <w:jc w:val="left"/>
              <w:rPr/>
            </w:pPr>
            <w:r>
              <w:rPr/>
              <w:t> </w:t>
            </w:r>
          </w:p>
        </w:tc>
        <w:tc>
          <w:tcPr>
            <w:tcW w:w="1424" w:type="dxa"/>
            <w:tcBorders/>
          </w:tcPr>
          <w:p>
            <w:pPr>
              <w:pStyle w:val="TableContents"/>
              <w:bidi w:val="0"/>
              <w:spacing w:before="0" w:after="0"/>
              <w:ind w:left="0" w:right="0" w:hanging="0"/>
              <w:jc w:val="center"/>
              <w:rPr/>
            </w:pPr>
            <w:r>
              <w:rPr/>
              <w:t>9/2/2026</w:t>
            </w:r>
          </w:p>
        </w:tc>
        <w:tc>
          <w:tcPr>
            <w:tcW w:w="90" w:type="dxa"/>
            <w:tcBorders/>
          </w:tcPr>
          <w:p>
            <w:pPr>
              <w:pStyle w:val="TableContents"/>
              <w:bidi w:val="0"/>
              <w:spacing w:before="0" w:after="283"/>
              <w:jc w:val="center"/>
              <w:rPr/>
            </w:pPr>
            <w:r>
              <w:rPr/>
              <w:t> </w:t>
            </w:r>
          </w:p>
        </w:tc>
        <w:tc>
          <w:tcPr>
            <w:tcW w:w="1239" w:type="dxa"/>
            <w:tcBorders/>
          </w:tcPr>
          <w:p>
            <w:pPr>
              <w:pStyle w:val="TableContents"/>
              <w:bidi w:val="0"/>
              <w:spacing w:before="0" w:after="0"/>
              <w:ind w:left="0" w:right="0" w:hanging="0"/>
              <w:jc w:val="center"/>
              <w:rPr/>
            </w:pPr>
            <w:r>
              <w:rPr/>
              <w:t>175,000</w:t>
            </w:r>
          </w:p>
        </w:tc>
        <w:tc>
          <w:tcPr>
            <w:tcW w:w="90" w:type="dxa"/>
            <w:tcBorders/>
          </w:tcPr>
          <w:p>
            <w:pPr>
              <w:pStyle w:val="TableContents"/>
              <w:bidi w:val="0"/>
              <w:spacing w:before="0" w:after="283"/>
              <w:jc w:val="center"/>
              <w:rPr/>
            </w:pPr>
            <w:r>
              <w:rPr/>
              <w:t> </w:t>
            </w:r>
          </w:p>
        </w:tc>
        <w:tc>
          <w:tcPr>
            <w:tcW w:w="1269" w:type="dxa"/>
            <w:tcBorders/>
          </w:tcPr>
          <w:p>
            <w:pPr>
              <w:pStyle w:val="TableContents"/>
              <w:bidi w:val="0"/>
              <w:spacing w:before="0" w:after="0"/>
              <w:ind w:left="0" w:right="0" w:hanging="0"/>
              <w:jc w:val="center"/>
              <w:rPr/>
            </w:pPr>
            <w:r>
              <w:rPr/>
              <w:t>$10.26</w:t>
            </w:r>
          </w:p>
        </w:tc>
        <w:tc>
          <w:tcPr>
            <w:tcW w:w="90" w:type="dxa"/>
            <w:tcBorders/>
          </w:tcPr>
          <w:p>
            <w:pPr>
              <w:pStyle w:val="TableContents"/>
              <w:bidi w:val="0"/>
              <w:spacing w:before="0" w:after="283"/>
              <w:jc w:val="center"/>
              <w:rPr/>
            </w:pPr>
            <w:r>
              <w:rPr/>
              <w:t> </w:t>
            </w:r>
          </w:p>
        </w:tc>
        <w:tc>
          <w:tcPr>
            <w:tcW w:w="1532" w:type="dxa"/>
            <w:tcBorders/>
          </w:tcPr>
          <w:p>
            <w:pPr>
              <w:pStyle w:val="TableContents"/>
              <w:bidi w:val="0"/>
              <w:spacing w:before="0" w:after="0"/>
              <w:ind w:left="0" w:right="0" w:hanging="0"/>
              <w:jc w:val="center"/>
              <w:rPr/>
            </w:pPr>
            <w:r>
              <w:rPr/>
              <w:t>Open Market Purchase</w:t>
            </w:r>
          </w:p>
        </w:tc>
        <w:tc>
          <w:tcPr>
            <w:tcW w:w="89" w:type="dxa"/>
            <w:tcBorders/>
          </w:tcPr>
          <w:p>
            <w:pPr>
              <w:pStyle w:val="TableContents"/>
              <w:bidi w:val="0"/>
              <w:spacing w:before="0" w:after="283"/>
              <w:jc w:val="center"/>
              <w:rPr/>
            </w:pPr>
            <w:r>
              <w:rPr/>
              <w:t> </w:t>
            </w:r>
          </w:p>
        </w:tc>
        <w:tc>
          <w:tcPr>
            <w:tcW w:w="1045" w:type="dxa"/>
            <w:tcBorders/>
          </w:tcPr>
          <w:p>
            <w:pPr>
              <w:pStyle w:val="TableContents"/>
              <w:bidi w:val="0"/>
              <w:spacing w:before="0" w:after="0"/>
              <w:ind w:left="0" w:right="0" w:hanging="0"/>
              <w:jc w:val="center"/>
              <w:rPr/>
            </w:pPr>
            <w:r>
              <w:rPr/>
              <w:t>$9.95 to $10.48</w:t>
            </w:r>
          </w:p>
        </w:tc>
      </w:tr>
      <w:tr>
        <w:trPr/>
        <w:tc>
          <w:tcPr>
            <w:tcW w:w="1716" w:type="dxa"/>
            <w:tcBorders/>
            <w:shd w:fill="CCEEFF" w:val="clear"/>
          </w:tcPr>
          <w:p>
            <w:pPr>
              <w:pStyle w:val="TableContents"/>
              <w:bidi w:val="0"/>
              <w:spacing w:before="0" w:after="0"/>
              <w:ind w:left="0" w:right="0" w:hanging="0"/>
              <w:jc w:val="center"/>
              <w:rPr/>
            </w:pPr>
            <w:r>
              <w:rPr/>
              <w:t xml:space="preserve">PSP Suja Life Aggregator, L.P. </w:t>
            </w:r>
          </w:p>
        </w:tc>
        <w:tc>
          <w:tcPr>
            <w:tcW w:w="90" w:type="dxa"/>
            <w:tcBorders/>
            <w:shd w:fill="CCEEFF" w:val="clear"/>
          </w:tcPr>
          <w:p>
            <w:pPr>
              <w:pStyle w:val="TableContents"/>
              <w:bidi w:val="0"/>
              <w:spacing w:before="0" w:after="283"/>
              <w:jc w:val="left"/>
              <w:rPr/>
            </w:pPr>
            <w:r>
              <w:rPr/>
              <w:t> </w:t>
            </w:r>
          </w:p>
        </w:tc>
        <w:tc>
          <w:tcPr>
            <w:tcW w:w="1424" w:type="dxa"/>
            <w:tcBorders/>
            <w:shd w:fill="CCEEFF" w:val="clear"/>
          </w:tcPr>
          <w:p>
            <w:pPr>
              <w:pStyle w:val="TableContents"/>
              <w:bidi w:val="0"/>
              <w:spacing w:before="0" w:after="0"/>
              <w:ind w:left="0" w:right="0" w:hanging="0"/>
              <w:jc w:val="center"/>
              <w:rPr/>
            </w:pPr>
            <w:r>
              <w:rPr/>
              <w:t>9/3/2026</w:t>
            </w:r>
          </w:p>
        </w:tc>
        <w:tc>
          <w:tcPr>
            <w:tcW w:w="90" w:type="dxa"/>
            <w:tcBorders/>
            <w:shd w:fill="CCEEFF" w:val="clear"/>
          </w:tcPr>
          <w:p>
            <w:pPr>
              <w:pStyle w:val="TableContents"/>
              <w:bidi w:val="0"/>
              <w:spacing w:before="0" w:after="283"/>
              <w:jc w:val="center"/>
              <w:rPr/>
            </w:pPr>
            <w:r>
              <w:rPr/>
              <w:t> </w:t>
            </w:r>
          </w:p>
        </w:tc>
        <w:tc>
          <w:tcPr>
            <w:tcW w:w="1239" w:type="dxa"/>
            <w:tcBorders/>
            <w:shd w:fill="CCEEFF" w:val="clear"/>
          </w:tcPr>
          <w:p>
            <w:pPr>
              <w:pStyle w:val="TableContents"/>
              <w:bidi w:val="0"/>
              <w:spacing w:before="0" w:after="0"/>
              <w:ind w:left="0" w:right="0" w:hanging="0"/>
              <w:jc w:val="center"/>
              <w:rPr/>
            </w:pPr>
            <w:r>
              <w:rPr/>
              <w:t>125,000</w:t>
            </w:r>
          </w:p>
        </w:tc>
        <w:tc>
          <w:tcPr>
            <w:tcW w:w="90" w:type="dxa"/>
            <w:tcBorders/>
            <w:shd w:fill="CCEEFF" w:val="clear"/>
          </w:tcPr>
          <w:p>
            <w:pPr>
              <w:pStyle w:val="TableContents"/>
              <w:bidi w:val="0"/>
              <w:spacing w:before="0" w:after="283"/>
              <w:jc w:val="center"/>
              <w:rPr/>
            </w:pPr>
            <w:r>
              <w:rPr/>
              <w:t> </w:t>
            </w:r>
          </w:p>
        </w:tc>
        <w:tc>
          <w:tcPr>
            <w:tcW w:w="1269" w:type="dxa"/>
            <w:tcBorders/>
            <w:shd w:fill="CCEEFF" w:val="clear"/>
          </w:tcPr>
          <w:p>
            <w:pPr>
              <w:pStyle w:val="TableContents"/>
              <w:bidi w:val="0"/>
              <w:spacing w:before="0" w:after="0"/>
              <w:ind w:left="0" w:right="0" w:hanging="0"/>
              <w:jc w:val="center"/>
              <w:rPr/>
            </w:pPr>
            <w:r>
              <w:rPr/>
              <w:t>$10.57</w:t>
            </w:r>
          </w:p>
        </w:tc>
        <w:tc>
          <w:tcPr>
            <w:tcW w:w="90" w:type="dxa"/>
            <w:tcBorders/>
            <w:shd w:fill="CCEEFF" w:val="clear"/>
          </w:tcPr>
          <w:p>
            <w:pPr>
              <w:pStyle w:val="TableContents"/>
              <w:bidi w:val="0"/>
              <w:spacing w:before="0" w:after="283"/>
              <w:jc w:val="center"/>
              <w:rPr/>
            </w:pPr>
            <w:r>
              <w:rPr/>
              <w:t> </w:t>
            </w:r>
          </w:p>
        </w:tc>
        <w:tc>
          <w:tcPr>
            <w:tcW w:w="1532" w:type="dxa"/>
            <w:tcBorders/>
            <w:shd w:fill="CCEEFF" w:val="clear"/>
          </w:tcPr>
          <w:p>
            <w:pPr>
              <w:pStyle w:val="TableContents"/>
              <w:bidi w:val="0"/>
              <w:spacing w:before="0" w:after="0"/>
              <w:ind w:left="0" w:right="0" w:hanging="0"/>
              <w:jc w:val="center"/>
              <w:rPr/>
            </w:pPr>
            <w:r>
              <w:rPr/>
              <w:t>Open Market Purchase</w:t>
            </w:r>
          </w:p>
        </w:tc>
        <w:tc>
          <w:tcPr>
            <w:tcW w:w="89" w:type="dxa"/>
            <w:tcBorders/>
            <w:shd w:fill="CCEEFF" w:val="clear"/>
          </w:tcPr>
          <w:p>
            <w:pPr>
              <w:pStyle w:val="TableContents"/>
              <w:bidi w:val="0"/>
              <w:spacing w:before="0" w:after="283"/>
              <w:jc w:val="center"/>
              <w:rPr/>
            </w:pPr>
            <w:r>
              <w:rPr/>
              <w:t> </w:t>
            </w:r>
          </w:p>
        </w:tc>
        <w:tc>
          <w:tcPr>
            <w:tcW w:w="1045" w:type="dxa"/>
            <w:tcBorders/>
            <w:shd w:fill="CCEEFF" w:val="clear"/>
          </w:tcPr>
          <w:p>
            <w:pPr>
              <w:pStyle w:val="TableContents"/>
              <w:bidi w:val="0"/>
              <w:spacing w:before="0" w:after="0"/>
              <w:ind w:left="0" w:right="0" w:hanging="0"/>
              <w:jc w:val="center"/>
              <w:rPr/>
            </w:pPr>
            <w:r>
              <w:rPr/>
              <w:t>$10.30 to $10.71</w:t>
            </w:r>
          </w:p>
        </w:tc>
      </w:tr>
      <w:tr>
        <w:trPr/>
        <w:tc>
          <w:tcPr>
            <w:tcW w:w="1716" w:type="dxa"/>
            <w:tcBorders/>
          </w:tcPr>
          <w:p>
            <w:pPr>
              <w:pStyle w:val="TableContents"/>
              <w:bidi w:val="0"/>
              <w:spacing w:before="0" w:after="283"/>
              <w:jc w:val="center"/>
              <w:rPr>
                <w:spacing w:val="0"/>
              </w:rPr>
            </w:pPr>
            <w:r>
              <w:rPr>
                <w:spacing w:val="0"/>
              </w:rPr>
              <w:t>PSP Suja Life Aggregator, L.P.</w:t>
            </w:r>
          </w:p>
        </w:tc>
        <w:tc>
          <w:tcPr>
            <w:tcW w:w="90" w:type="dxa"/>
            <w:tcBorders/>
          </w:tcPr>
          <w:p>
            <w:pPr>
              <w:pStyle w:val="TableContents"/>
              <w:bidi w:val="0"/>
              <w:spacing w:before="0" w:after="283"/>
              <w:jc w:val="left"/>
              <w:rPr/>
            </w:pPr>
            <w:r>
              <w:rPr/>
              <w:t> </w:t>
            </w:r>
          </w:p>
        </w:tc>
        <w:tc>
          <w:tcPr>
            <w:tcW w:w="1424" w:type="dxa"/>
            <w:tcBorders/>
          </w:tcPr>
          <w:p>
            <w:pPr>
              <w:pStyle w:val="TableContents"/>
              <w:bidi w:val="0"/>
              <w:spacing w:before="0" w:after="283"/>
              <w:jc w:val="center"/>
              <w:rPr/>
            </w:pPr>
            <w:r>
              <w:rPr/>
              <w:t>9/4/2026</w:t>
            </w:r>
          </w:p>
        </w:tc>
        <w:tc>
          <w:tcPr>
            <w:tcW w:w="90" w:type="dxa"/>
            <w:tcBorders/>
          </w:tcPr>
          <w:p>
            <w:pPr>
              <w:pStyle w:val="TableContents"/>
              <w:bidi w:val="0"/>
              <w:spacing w:before="0" w:after="283"/>
              <w:jc w:val="center"/>
              <w:rPr/>
            </w:pPr>
            <w:r>
              <w:rPr/>
              <w:t> </w:t>
            </w:r>
          </w:p>
        </w:tc>
        <w:tc>
          <w:tcPr>
            <w:tcW w:w="1239" w:type="dxa"/>
            <w:tcBorders/>
          </w:tcPr>
          <w:p>
            <w:pPr>
              <w:pStyle w:val="TableContents"/>
              <w:bidi w:val="0"/>
              <w:spacing w:before="0" w:after="283"/>
              <w:jc w:val="center"/>
              <w:rPr/>
            </w:pPr>
            <w:r>
              <w:rPr/>
              <w:t>125,000</w:t>
            </w:r>
          </w:p>
        </w:tc>
        <w:tc>
          <w:tcPr>
            <w:tcW w:w="90" w:type="dxa"/>
            <w:tcBorders/>
          </w:tcPr>
          <w:p>
            <w:pPr>
              <w:pStyle w:val="TableContents"/>
              <w:bidi w:val="0"/>
              <w:spacing w:before="0" w:after="283"/>
              <w:jc w:val="center"/>
              <w:rPr/>
            </w:pPr>
            <w:r>
              <w:rPr/>
              <w:t> </w:t>
            </w:r>
          </w:p>
        </w:tc>
        <w:tc>
          <w:tcPr>
            <w:tcW w:w="1269" w:type="dxa"/>
            <w:tcBorders/>
          </w:tcPr>
          <w:p>
            <w:pPr>
              <w:pStyle w:val="TableContents"/>
              <w:bidi w:val="0"/>
              <w:spacing w:before="0" w:after="283"/>
              <w:jc w:val="center"/>
              <w:rPr/>
            </w:pPr>
            <w:r>
              <w:rPr/>
              <w:t>$10.48</w:t>
            </w:r>
          </w:p>
        </w:tc>
        <w:tc>
          <w:tcPr>
            <w:tcW w:w="90" w:type="dxa"/>
            <w:tcBorders/>
          </w:tcPr>
          <w:p>
            <w:pPr>
              <w:pStyle w:val="TableContents"/>
              <w:bidi w:val="0"/>
              <w:spacing w:before="0" w:after="283"/>
              <w:jc w:val="center"/>
              <w:rPr/>
            </w:pPr>
            <w:r>
              <w:rPr/>
              <w:t> </w:t>
            </w:r>
          </w:p>
        </w:tc>
        <w:tc>
          <w:tcPr>
            <w:tcW w:w="1532" w:type="dxa"/>
            <w:tcBorders/>
          </w:tcPr>
          <w:p>
            <w:pPr>
              <w:pStyle w:val="TableContents"/>
              <w:bidi w:val="0"/>
              <w:spacing w:before="0" w:after="283"/>
              <w:jc w:val="center"/>
              <w:rPr>
                <w:spacing w:val="0"/>
              </w:rPr>
            </w:pPr>
            <w:r>
              <w:rPr>
                <w:spacing w:val="0"/>
              </w:rPr>
              <w:t>Open Market Purchase</w:t>
            </w:r>
          </w:p>
        </w:tc>
        <w:tc>
          <w:tcPr>
            <w:tcW w:w="89" w:type="dxa"/>
            <w:tcBorders/>
          </w:tcPr>
          <w:p>
            <w:pPr>
              <w:pStyle w:val="TableContents"/>
              <w:bidi w:val="0"/>
              <w:spacing w:before="0" w:after="283"/>
              <w:jc w:val="center"/>
              <w:rPr/>
            </w:pPr>
            <w:r>
              <w:rPr/>
              <w:t> </w:t>
            </w:r>
          </w:p>
        </w:tc>
        <w:tc>
          <w:tcPr>
            <w:tcW w:w="1045" w:type="dxa"/>
            <w:tcBorders/>
          </w:tcPr>
          <w:p>
            <w:pPr>
              <w:pStyle w:val="TableContents"/>
              <w:bidi w:val="0"/>
              <w:spacing w:before="0" w:after="283"/>
              <w:jc w:val="center"/>
              <w:rPr/>
            </w:pPr>
            <w:r>
              <w:rPr/>
              <w:t>$10.05 to $10.72</w:t>
            </w:r>
          </w:p>
        </w:tc>
      </w:tr>
      <w:tr>
        <w:trPr/>
        <w:tc>
          <w:tcPr>
            <w:tcW w:w="1716" w:type="dxa"/>
            <w:tcBorders/>
            <w:shd w:fill="CCEEFF" w:val="clear"/>
          </w:tcPr>
          <w:p>
            <w:pPr>
              <w:pStyle w:val="TableContents"/>
              <w:bidi w:val="0"/>
              <w:spacing w:before="0" w:after="283"/>
              <w:jc w:val="center"/>
              <w:rPr>
                <w:spacing w:val="0"/>
              </w:rPr>
            </w:pPr>
            <w:r>
              <w:rPr>
                <w:spacing w:val="0"/>
              </w:rPr>
              <w:t>PSP Suja Life Aggregator, L.P.</w:t>
            </w:r>
          </w:p>
        </w:tc>
        <w:tc>
          <w:tcPr>
            <w:tcW w:w="90" w:type="dxa"/>
            <w:tcBorders/>
            <w:shd w:fill="CCEEFF" w:val="clear"/>
          </w:tcPr>
          <w:p>
            <w:pPr>
              <w:pStyle w:val="TableContents"/>
              <w:bidi w:val="0"/>
              <w:spacing w:before="0" w:after="283"/>
              <w:jc w:val="left"/>
              <w:rPr/>
            </w:pPr>
            <w:r>
              <w:rPr/>
              <w:t> </w:t>
            </w:r>
          </w:p>
        </w:tc>
        <w:tc>
          <w:tcPr>
            <w:tcW w:w="1424" w:type="dxa"/>
            <w:tcBorders/>
            <w:shd w:fill="CCEEFF" w:val="clear"/>
          </w:tcPr>
          <w:p>
            <w:pPr>
              <w:pStyle w:val="TableContents"/>
              <w:bidi w:val="0"/>
              <w:spacing w:before="0" w:after="283"/>
              <w:jc w:val="center"/>
              <w:rPr/>
            </w:pPr>
            <w:r>
              <w:rPr/>
              <w:t>9/8/2026</w:t>
            </w:r>
          </w:p>
        </w:tc>
        <w:tc>
          <w:tcPr>
            <w:tcW w:w="90" w:type="dxa"/>
            <w:tcBorders/>
            <w:shd w:fill="CCEEFF" w:val="clear"/>
          </w:tcPr>
          <w:p>
            <w:pPr>
              <w:pStyle w:val="TableContents"/>
              <w:bidi w:val="0"/>
              <w:spacing w:before="0" w:after="283"/>
              <w:jc w:val="center"/>
              <w:rPr/>
            </w:pPr>
            <w:r>
              <w:rPr/>
              <w:t> </w:t>
            </w:r>
          </w:p>
        </w:tc>
        <w:tc>
          <w:tcPr>
            <w:tcW w:w="1239" w:type="dxa"/>
            <w:tcBorders/>
            <w:shd w:fill="CCEEFF" w:val="clear"/>
          </w:tcPr>
          <w:p>
            <w:pPr>
              <w:pStyle w:val="TableContents"/>
              <w:bidi w:val="0"/>
              <w:spacing w:before="0" w:after="283"/>
              <w:jc w:val="center"/>
              <w:rPr/>
            </w:pPr>
            <w:r>
              <w:rPr/>
              <w:t>50,000</w:t>
            </w:r>
          </w:p>
        </w:tc>
        <w:tc>
          <w:tcPr>
            <w:tcW w:w="90" w:type="dxa"/>
            <w:tcBorders/>
            <w:shd w:fill="CCEEFF" w:val="clear"/>
          </w:tcPr>
          <w:p>
            <w:pPr>
              <w:pStyle w:val="TableContents"/>
              <w:bidi w:val="0"/>
              <w:spacing w:before="0" w:after="283"/>
              <w:jc w:val="center"/>
              <w:rPr/>
            </w:pPr>
            <w:r>
              <w:rPr/>
              <w:t> </w:t>
            </w:r>
          </w:p>
        </w:tc>
        <w:tc>
          <w:tcPr>
            <w:tcW w:w="1269" w:type="dxa"/>
            <w:tcBorders/>
            <w:shd w:fill="CCEEFF" w:val="clear"/>
          </w:tcPr>
          <w:p>
            <w:pPr>
              <w:pStyle w:val="TableContents"/>
              <w:bidi w:val="0"/>
              <w:spacing w:before="0" w:after="283"/>
              <w:jc w:val="center"/>
              <w:rPr/>
            </w:pPr>
            <w:r>
              <w:rPr/>
              <w:t>$9.90</w:t>
            </w:r>
          </w:p>
        </w:tc>
        <w:tc>
          <w:tcPr>
            <w:tcW w:w="90" w:type="dxa"/>
            <w:tcBorders/>
            <w:shd w:fill="CCEEFF" w:val="clear"/>
          </w:tcPr>
          <w:p>
            <w:pPr>
              <w:pStyle w:val="TableContents"/>
              <w:bidi w:val="0"/>
              <w:spacing w:before="0" w:after="283"/>
              <w:jc w:val="center"/>
              <w:rPr/>
            </w:pPr>
            <w:r>
              <w:rPr/>
              <w:t> </w:t>
            </w:r>
          </w:p>
        </w:tc>
        <w:tc>
          <w:tcPr>
            <w:tcW w:w="1532" w:type="dxa"/>
            <w:tcBorders/>
            <w:shd w:fill="CCEEFF" w:val="clear"/>
          </w:tcPr>
          <w:p>
            <w:pPr>
              <w:pStyle w:val="TableContents"/>
              <w:bidi w:val="0"/>
              <w:spacing w:before="0" w:after="283"/>
              <w:jc w:val="center"/>
              <w:rPr>
                <w:spacing w:val="0"/>
              </w:rPr>
            </w:pPr>
            <w:r>
              <w:rPr>
                <w:spacing w:val="0"/>
              </w:rPr>
              <w:t>Open Market Purchase</w:t>
            </w:r>
          </w:p>
        </w:tc>
        <w:tc>
          <w:tcPr>
            <w:tcW w:w="89" w:type="dxa"/>
            <w:tcBorders/>
            <w:shd w:fill="CCEEFF" w:val="clear"/>
          </w:tcPr>
          <w:p>
            <w:pPr>
              <w:pStyle w:val="TableContents"/>
              <w:bidi w:val="0"/>
              <w:spacing w:before="0" w:after="283"/>
              <w:jc w:val="center"/>
              <w:rPr/>
            </w:pPr>
            <w:r>
              <w:rPr/>
              <w:t> </w:t>
            </w:r>
          </w:p>
        </w:tc>
        <w:tc>
          <w:tcPr>
            <w:tcW w:w="1045" w:type="dxa"/>
            <w:tcBorders/>
            <w:shd w:fill="CCEEFF" w:val="clear"/>
          </w:tcPr>
          <w:p>
            <w:pPr>
              <w:pStyle w:val="TableContents"/>
              <w:bidi w:val="0"/>
              <w:spacing w:before="0" w:after="283"/>
              <w:jc w:val="center"/>
              <w:rPr/>
            </w:pPr>
            <w:r>
              <w:rPr/>
              <w:t>$9.78 to $9.98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1308</Words>
  <Characters>6558</Characters>
  <CharactersWithSpaces>7832</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